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ind w:firstLine="533"/>
        <w:spacing w:before="293" w:line="191" w:lineRule="auto"/>
        <w:rPr>
          <w:rFonts w:ascii="Microsoft YaHei" w:hAnsi="Microsoft YaHei" w:eastAsia="Microsoft YaHei" w:cs="Microsoft YaHei"/>
          <w:sz w:val="16"/>
          <w:szCs w:val="16"/>
        </w:rPr>
      </w:pPr>
      <w:r>
        <w:drawing>
          <wp:anchor distT="0" distB="0" distL="0" distR="0" simplePos="0" relativeHeight="251659264" behindDoc="0" locked="0" layoutInCell="0" allowOverlap="1">
            <wp:simplePos x="0" y="0"/>
            <wp:positionH relativeFrom="page">
              <wp:posOffset>436625</wp:posOffset>
            </wp:positionH>
            <wp:positionV relativeFrom="page">
              <wp:posOffset>1891969</wp:posOffset>
            </wp:positionV>
            <wp:extent cx="6695948" cy="6832"/>
            <wp:effectExtent l="0" t="0" r="0" b="0"/>
            <wp:wrapNone/>
            <wp:docPr id="1" name="IM 1"/>
            <wp:cNvGraphicFramePr/>
            <a:graphic>
              <a:graphicData uri="http://schemas.openxmlformats.org/drawingml/2006/picture">
                <pic:pic>
                  <pic:nvPicPr>
                    <pic:cNvPr id="1" name="IM 1"/>
                    <pic:cNvPicPr/>
                  </pic:nvPicPr>
                  <pic:blipFill>
                    <a:blip r:embed="rId1"/>
                    <a:stretch>
                      <a:fillRect/>
                    </a:stretch>
                  </pic:blipFill>
                  <pic:spPr>
                    <a:xfrm rot="0">
                      <a:off x="0" y="0"/>
                      <a:ext cx="6695948" cy="6832"/>
                    </a:xfrm>
                    <a:prstGeom prst="rect">
                      <a:avLst/>
                    </a:prstGeom>
                  </pic:spPr>
                </pic:pic>
              </a:graphicData>
            </a:graphic>
          </wp:anchor>
        </w:drawing>
      </w:r>
      <w:r>
        <w:drawing>
          <wp:anchor distT="0" distB="0" distL="0" distR="0" simplePos="0" relativeHeight="251658240" behindDoc="0" locked="0" layoutInCell="0" allowOverlap="1">
            <wp:simplePos x="0" y="0"/>
            <wp:positionH relativeFrom="page">
              <wp:posOffset>368299</wp:posOffset>
            </wp:positionH>
            <wp:positionV relativeFrom="page">
              <wp:posOffset>504951</wp:posOffset>
            </wp:positionV>
            <wp:extent cx="3265982" cy="512444"/>
            <wp:effectExtent l="0" t="0" r="0" b="0"/>
            <wp:wrapNone/>
            <wp:docPr id="2" name="IM 2"/>
            <wp:cNvGraphicFramePr/>
            <a:graphic>
              <a:graphicData uri="http://schemas.openxmlformats.org/drawingml/2006/picture">
                <pic:pic>
                  <pic:nvPicPr>
                    <pic:cNvPr id="2" name="IM 2"/>
                    <pic:cNvPicPr/>
                  </pic:nvPicPr>
                  <pic:blipFill>
                    <a:blip r:embed="rId2"/>
                    <a:stretch>
                      <a:fillRect/>
                    </a:stretch>
                  </pic:blipFill>
                  <pic:spPr>
                    <a:xfrm rot="0">
                      <a:off x="0" y="0"/>
                      <a:ext cx="3265982" cy="512444"/>
                    </a:xfrm>
                    <a:prstGeom prst="rect">
                      <a:avLst/>
                    </a:prstGeom>
                  </pic:spPr>
                </pic:pic>
              </a:graphicData>
            </a:graphic>
          </wp:anchor>
        </w:drawing>
      </w:r>
      <w:r>
        <w:rPr>
          <w:rFonts w:ascii="Arial" w:hAnsi="Arial" w:eastAsia="Arial" w:cs="Arial"/>
          <w:sz w:val="16"/>
          <w:szCs w:val="16"/>
          <w:spacing w:val="-2"/>
          <w:position w:val="1"/>
        </w:rPr>
        <w:t>2022/4/27</w:t>
      </w:r>
      <w:r>
        <w:rPr>
          <w:rFonts w:ascii="Arial" w:hAnsi="Arial" w:eastAsia="Arial" w:cs="Arial"/>
          <w:sz w:val="16"/>
          <w:szCs w:val="16"/>
          <w:spacing w:val="1"/>
          <w:position w:val="1"/>
        </w:rPr>
        <w:t>                                      </w:t>
      </w:r>
      <w:r>
        <w:rPr>
          <w:rFonts w:ascii="Microsoft YaHei" w:hAnsi="Microsoft YaHei" w:eastAsia="Microsoft YaHei" w:cs="Microsoft YaHei"/>
          <w:sz w:val="16"/>
          <w:szCs w:val="16"/>
          <w:spacing w:val="-2"/>
        </w:rPr>
        <w:t>全面深化管理会计应用</w:t>
      </w:r>
      <w:r>
        <w:rPr>
          <w:rFonts w:ascii="Microsoft YaHei" w:hAnsi="Microsoft YaHei" w:eastAsia="Microsoft YaHei" w:cs="Microsoft YaHei"/>
          <w:sz w:val="16"/>
          <w:szCs w:val="16"/>
          <w:spacing w:val="10"/>
          <w:w w:val="101"/>
        </w:rPr>
        <w:t>   </w:t>
      </w:r>
      <w:r>
        <w:rPr>
          <w:rFonts w:ascii="Microsoft YaHei" w:hAnsi="Microsoft YaHei" w:eastAsia="Microsoft YaHei" w:cs="Microsoft YaHei"/>
          <w:sz w:val="16"/>
          <w:szCs w:val="16"/>
          <w:spacing w:val="-2"/>
        </w:rPr>
        <w:t>积极推动会计职能拓展</w:t>
      </w:r>
      <w:r>
        <w:rPr>
          <w:rFonts w:ascii="Arial" w:hAnsi="Arial" w:eastAsia="Arial" w:cs="Arial"/>
          <w:sz w:val="16"/>
          <w:szCs w:val="16"/>
          <w:spacing w:val="-2"/>
        </w:rPr>
        <w:t>——</w:t>
      </w:r>
      <w:r>
        <w:rPr>
          <w:rFonts w:ascii="Arial" w:hAnsi="Arial" w:eastAsia="Arial" w:cs="Arial"/>
          <w:sz w:val="16"/>
          <w:szCs w:val="16"/>
          <w:spacing w:val="34"/>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规划纲要》系列解读之九</w:t>
      </w:r>
    </w:p>
    <w:p>
      <w:pPr>
        <w:spacing w:line="369" w:lineRule="auto"/>
        <w:rPr>
          <w:rFonts w:ascii="SimSun"/>
          <w:sz w:val="21"/>
        </w:rPr>
      </w:pPr>
      <w:r/>
    </w:p>
    <w:p>
      <w:pPr>
        <w:ind w:firstLine="9228"/>
        <w:spacing w:before="141" w:line="180" w:lineRule="auto"/>
        <w:rPr>
          <w:rFonts w:ascii="Microsoft YaHei" w:hAnsi="Microsoft YaHei" w:eastAsia="Microsoft YaHei" w:cs="Microsoft YaHei"/>
          <w:sz w:val="33"/>
          <w:szCs w:val="33"/>
        </w:rPr>
      </w:pPr>
      <w:r>
        <w:rPr>
          <w:rFonts w:ascii="Microsoft YaHei" w:hAnsi="Microsoft YaHei" w:eastAsia="Microsoft YaHei" w:cs="Microsoft YaHei"/>
          <w:sz w:val="33"/>
          <w:szCs w:val="33"/>
          <w:color w:val="002973"/>
          <w:spacing w:val="2"/>
        </w:rPr>
        <w:t>会计司</w:t>
      </w:r>
    </w:p>
    <w:p>
      <w:pPr>
        <w:rPr/>
      </w:pPr>
      <w:r/>
    </w:p>
    <w:p>
      <w:pPr>
        <w:spacing w:line="125" w:lineRule="exact"/>
        <w:rPr/>
      </w:pPr>
      <w:r/>
    </w:p>
    <w:p>
      <w:pPr>
        <w:sectPr>
          <w:pgSz w:w="11900" w:h="16839"/>
          <w:pgMar w:top="0" w:right="0" w:bottom="0" w:left="0" w:header="0" w:footer="0" w:gutter="0"/>
          <w:cols w:equalWidth="0" w:num="1">
            <w:col w:w="11900" w:space="0"/>
          </w:cols>
        </w:sectPr>
        <w:rPr/>
      </w:pPr>
    </w:p>
    <w:p>
      <w:pPr>
        <w:ind w:firstLine="803"/>
        <w:spacing w:before="147" w:line="180"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ABABAB"/>
          <w:spacing w:val="-1"/>
        </w:rPr>
        <w:t>2022年04月27日</w:t>
      </w:r>
      <w:r>
        <w:rPr>
          <w:rFonts w:ascii="Microsoft YaHei" w:hAnsi="Microsoft YaHei" w:eastAsia="Microsoft YaHei" w:cs="Microsoft YaHei"/>
          <w:sz w:val="15"/>
          <w:szCs w:val="15"/>
          <w:color w:val="ABABAB"/>
          <w:spacing w:val="6"/>
        </w:rPr>
        <w:t>  </w:t>
      </w:r>
      <w:r>
        <w:rPr>
          <w:rFonts w:ascii="Microsoft YaHei" w:hAnsi="Microsoft YaHei" w:eastAsia="Microsoft YaHei" w:cs="Microsoft YaHei"/>
          <w:sz w:val="15"/>
          <w:szCs w:val="15"/>
          <w:color w:val="ABABAB"/>
          <w:spacing w:val="-1"/>
        </w:rPr>
        <w:t>星期三</w:t>
      </w:r>
    </w:p>
    <w:p>
      <w:pPr>
        <w:spacing w:line="42" w:lineRule="exact"/>
        <w:rPr/>
      </w:pPr>
      <w:r/>
    </w:p>
    <w:p>
      <w:pPr>
        <w:spacing w:line="14" w:lineRule="auto"/>
        <w:rPr>
          <w:rFonts w:ascii="SimSun"/>
          <w:sz w:val="2"/>
        </w:rPr>
      </w:pPr>
      <w:r>
        <w:rPr>
          <w:rFonts w:ascii="SimSun" w:hAnsi="SimSun" w:eastAsia="SimSun" w:cs="SimSun"/>
          <w:sz w:val="2"/>
          <w:szCs w:val="2"/>
        </w:rPr>
        <w:br w:type="column"/>
      </w:r>
    </w:p>
    <w:p>
      <w:pPr>
        <w:spacing w:line="58" w:lineRule="exact"/>
        <w:rPr/>
      </w:pPr>
      <w:r/>
    </w:p>
    <w:tbl>
      <w:tblPr>
        <w:tblStyle w:val="2"/>
        <w:tblW w:w="1786" w:type="dxa"/>
        <w:tblInd w:w="638" w:type="dxa"/>
        <w:tblLayout w:type="fixed"/>
        <w:tblBorders>
          <w:left w:val="single" w:color="64A0D2" w:sz="4" w:space="0"/>
          <w:bottom w:val="single" w:color="64A0D2" w:sz="4" w:space="0"/>
          <w:right w:val="single" w:color="64A0D2" w:sz="4" w:space="0"/>
          <w:top w:val="single" w:color="64A0D2" w:sz="4" w:space="0"/>
        </w:tblBorders>
      </w:tblPr>
      <w:tblGrid>
        <w:gridCol w:w="1786"/>
      </w:tblGrid>
      <w:tr>
        <w:trPr>
          <w:trHeight w:val="281" w:hRule="atLeast"/>
        </w:trPr>
        <w:tc>
          <w:tcPr>
            <w:tcW w:w="1786" w:type="dxa"/>
            <w:vAlign w:val="top"/>
          </w:tcPr>
          <w:p>
            <w:pPr>
              <w:ind w:firstLine="78"/>
              <w:spacing w:before="71"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ABABAB"/>
                <w:spacing w:val="2"/>
              </w:rPr>
              <w:t>请输入关键字</w:t>
            </w:r>
          </w:p>
        </w:tc>
      </w:tr>
    </w:tbl>
    <w:p>
      <w:pPr>
        <w:spacing w:line="21" w:lineRule="exact"/>
        <w:rPr>
          <w:rFonts w:ascii="SimSun"/>
          <w:sz w:val="2"/>
        </w:rPr>
      </w:pPr>
      <w:r/>
    </w:p>
    <w:p>
      <w:pPr>
        <w:spacing w:line="14" w:lineRule="auto"/>
        <w:rPr>
          <w:rFonts w:ascii="SimSun"/>
          <w:sz w:val="2"/>
        </w:rPr>
      </w:pPr>
      <w:r>
        <w:rPr>
          <w:rFonts w:ascii="SimSun" w:hAnsi="SimSun" w:eastAsia="SimSun" w:cs="SimSun"/>
          <w:sz w:val="2"/>
          <w:szCs w:val="2"/>
        </w:rPr>
        <w:br w:type="column"/>
      </w:r>
    </w:p>
    <w:p>
      <w:pPr>
        <w:spacing w:line="58" w:lineRule="exact"/>
        <w:rPr/>
      </w:pPr>
      <w:r/>
    </w:p>
    <w:tbl>
      <w:tblPr>
        <w:tblStyle w:val="2"/>
        <w:tblW w:w="1733" w:type="dxa"/>
        <w:tblInd w:w="14" w:type="dxa"/>
        <w:tblLayout w:type="fixed"/>
        <w:tblBorders>
          <w:left w:val="single" w:color="64A0D2" w:sz="4" w:space="0"/>
          <w:bottom w:val="single" w:color="64A0D2" w:sz="4" w:space="0"/>
          <w:right w:val="single" w:color="64A0D2" w:sz="4" w:space="0"/>
          <w:top w:val="single" w:color="64A0D2" w:sz="4" w:space="0"/>
        </w:tblBorders>
      </w:tblPr>
      <w:tblGrid>
        <w:gridCol w:w="1733"/>
      </w:tblGrid>
      <w:tr>
        <w:trPr>
          <w:trHeight w:val="301" w:hRule="atLeast"/>
        </w:trPr>
        <w:tc>
          <w:tcPr>
            <w:shd w:val="clear" w:fill="FFFFFF"/>
            <w:tcW w:w="1733" w:type="dxa"/>
            <w:vAlign w:val="top"/>
          </w:tcPr>
          <w:p>
            <w:pPr>
              <w:ind w:firstLine="109"/>
              <w:spacing w:before="78" w:line="180"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ABABAB"/>
              </w:rPr>
              <w:t>会计司</w:t>
            </w:r>
          </w:p>
        </w:tc>
      </w:tr>
    </w:tbl>
    <w:p>
      <w:pPr>
        <w:spacing w:line="14" w:lineRule="auto"/>
        <w:rPr>
          <w:rFonts w:ascii="SimSun"/>
          <w:sz w:val="2"/>
        </w:rPr>
      </w:pPr>
      <w:r/>
    </w:p>
    <w:p>
      <w:pPr>
        <w:spacing w:line="14" w:lineRule="auto"/>
        <w:rPr>
          <w:rFonts w:ascii="SimSun"/>
          <w:sz w:val="2"/>
        </w:rPr>
      </w:pPr>
      <w:r>
        <w:rPr>
          <w:rFonts w:ascii="SimSun" w:hAnsi="SimSun" w:eastAsia="SimSun" w:cs="SimSun"/>
          <w:sz w:val="2"/>
          <w:szCs w:val="2"/>
        </w:rPr>
        <w:br w:type="column"/>
      </w:r>
    </w:p>
    <w:p>
      <w:pPr>
        <w:ind w:firstLine="109"/>
        <w:spacing w:before="80" w:line="301" w:lineRule="exact"/>
        <w:rPr>
          <w:rFonts w:ascii="Microsoft YaHei" w:hAnsi="Microsoft YaHei" w:eastAsia="Microsoft YaHei" w:cs="Microsoft YaHei"/>
          <w:sz w:val="15"/>
          <w:szCs w:val="15"/>
        </w:rPr>
      </w:pPr>
      <w:hyperlink w:history="true" r:id="rId3">
        <w:r>
          <w:rPr>
            <w:shd w:val="clear" w:fill="FFFFFE"/>
            <w:rFonts w:ascii="Microsoft YaHei" w:hAnsi="Microsoft YaHei" w:eastAsia="Microsoft YaHei" w:cs="Microsoft YaHei"/>
            <w:sz w:val="15"/>
            <w:szCs w:val="15"/>
            <w:color w:val="ABABAB"/>
            <w:spacing w:val="-1"/>
            <w:position w:val="3"/>
          </w:rPr>
          <w:t>搜索</w:t>
        </w:r>
      </w:hyperlink>
    </w:p>
    <w:p>
      <w:pPr>
        <w:spacing w:line="14" w:lineRule="auto"/>
        <w:rPr>
          <w:rFonts w:ascii="SimSun"/>
          <w:sz w:val="2"/>
        </w:rPr>
      </w:pPr>
      <w:r>
        <w:rPr>
          <w:rFonts w:ascii="SimSun" w:hAnsi="SimSun" w:eastAsia="SimSun" w:cs="SimSun"/>
          <w:sz w:val="2"/>
          <w:szCs w:val="2"/>
        </w:rPr>
        <w:br w:type="column"/>
      </w:r>
    </w:p>
    <w:p>
      <w:pPr>
        <w:ind w:firstLine="1156"/>
        <w:spacing w:before="112" w:line="191" w:lineRule="auto"/>
        <w:rPr>
          <w:rFonts w:ascii="Microsoft YaHei" w:hAnsi="Microsoft YaHei" w:eastAsia="Microsoft YaHei" w:cs="Microsoft YaHei"/>
          <w:sz w:val="15"/>
          <w:szCs w:val="15"/>
        </w:rPr>
      </w:pPr>
      <w:hyperlink w:history="true" r:id="rId4">
        <w:r>
          <w:rPr>
            <w:rFonts w:ascii="Microsoft YaHei" w:hAnsi="Microsoft YaHei" w:eastAsia="Microsoft YaHei" w:cs="Microsoft YaHei"/>
            <w:sz w:val="15"/>
            <w:szCs w:val="15"/>
            <w:color w:val="63839E"/>
          </w:rPr>
          <w:t>返回主站</w:t>
        </w:r>
      </w:hyperlink>
    </w:p>
    <w:p>
      <w:pPr>
        <w:sectPr>
          <w:type w:val="continuous"/>
          <w:pgSz w:w="11900" w:h="16839"/>
          <w:pgMar w:top="0" w:right="0" w:bottom="0" w:left="0" w:header="0" w:footer="0" w:gutter="0"/>
          <w:cols w:equalWidth="0" w:num="5">
            <w:col w:w="3128" w:space="100"/>
            <w:col w:w="2440" w:space="100"/>
            <w:col w:w="1753" w:space="75"/>
            <w:col w:w="1672" w:space="100"/>
            <w:col w:w="2533" w:space="0"/>
          </w:cols>
        </w:sectPr>
        <w:rPr/>
      </w:pPr>
    </w:p>
    <w:p>
      <w:pPr>
        <w:spacing w:line="312" w:lineRule="auto"/>
        <w:rPr>
          <w:rFonts w:ascii="SimSun"/>
          <w:sz w:val="21"/>
        </w:rPr>
      </w:pPr>
      <w:r/>
    </w:p>
    <w:p>
      <w:pPr>
        <w:ind w:firstLine="857"/>
        <w:spacing w:before="64" w:line="191"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333333"/>
          <w:spacing w:val="-9"/>
        </w:rPr>
        <w:t>当前位置：</w:t>
      </w:r>
      <w:r>
        <w:rPr>
          <w:rFonts w:ascii="Microsoft YaHei" w:hAnsi="Microsoft YaHei" w:eastAsia="Microsoft YaHei" w:cs="Microsoft YaHei"/>
          <w:sz w:val="15"/>
          <w:szCs w:val="15"/>
          <w:color w:val="333333"/>
          <w:spacing w:val="9"/>
        </w:rPr>
        <w:t>  </w:t>
      </w:r>
      <w:hyperlink w:history="true" r:id="rId5">
        <w:r>
          <w:rPr>
            <w:rFonts w:ascii="Microsoft YaHei" w:hAnsi="Microsoft YaHei" w:eastAsia="Microsoft YaHei" w:cs="Microsoft YaHei"/>
            <w:sz w:val="15"/>
            <w:szCs w:val="15"/>
            <w:color w:val="333333"/>
            <w:spacing w:val="-9"/>
          </w:rPr>
          <w:t>首页</w:t>
        </w:r>
      </w:hyperlink>
      <w:r>
        <w:rPr>
          <w:rFonts w:ascii="Microsoft YaHei" w:hAnsi="Microsoft YaHei" w:eastAsia="Microsoft YaHei" w:cs="Microsoft YaHei"/>
          <w:sz w:val="15"/>
          <w:szCs w:val="15"/>
          <w:color w:val="333333"/>
          <w:spacing w:val="-9"/>
        </w:rPr>
        <w:t>&gt;</w:t>
      </w:r>
      <w:hyperlink w:history="true" r:id="rId6">
        <w:r>
          <w:rPr>
            <w:rFonts w:ascii="Microsoft YaHei" w:hAnsi="Microsoft YaHei" w:eastAsia="Microsoft YaHei" w:cs="Microsoft YaHei"/>
            <w:sz w:val="15"/>
            <w:szCs w:val="15"/>
            <w:color w:val="333333"/>
            <w:spacing w:val="-9"/>
          </w:rPr>
          <w:t>政策解读</w:t>
        </w:r>
      </w:hyperlink>
    </w:p>
    <w:p>
      <w:pPr>
        <w:spacing w:line="352" w:lineRule="auto"/>
        <w:rPr>
          <w:rFonts w:ascii="SimSun"/>
          <w:sz w:val="21"/>
        </w:rPr>
      </w:pPr>
      <w:r/>
    </w:p>
    <w:p>
      <w:pPr>
        <w:ind w:firstLine="3252"/>
        <w:spacing w:before="112" w:line="557" w:lineRule="exact"/>
        <w:rPr>
          <w:rFonts w:ascii="Microsoft YaHei" w:hAnsi="Microsoft YaHei" w:eastAsia="Microsoft YaHei" w:cs="Microsoft YaHei"/>
          <w:sz w:val="26"/>
          <w:szCs w:val="26"/>
        </w:rPr>
      </w:pPr>
      <w:r>
        <w:rPr>
          <w:rFonts w:ascii="Microsoft YaHei" w:hAnsi="Microsoft YaHei" w:eastAsia="Microsoft YaHei" w:cs="Microsoft YaHei"/>
          <w:sz w:val="26"/>
          <w:szCs w:val="26"/>
          <w:b/>
          <w:bCs/>
          <w:color w:val="333333"/>
          <w:spacing w:val="-3"/>
          <w:position w:val="21"/>
        </w:rPr>
        <w:t>全面深化管理会计应用</w:t>
      </w:r>
      <w:r>
        <w:rPr>
          <w:rFonts w:ascii="Microsoft YaHei" w:hAnsi="Microsoft YaHei" w:eastAsia="Microsoft YaHei" w:cs="Microsoft YaHei"/>
          <w:sz w:val="26"/>
          <w:szCs w:val="26"/>
          <w:color w:val="333333"/>
          <w:spacing w:val="16"/>
          <w:w w:val="101"/>
          <w:position w:val="21"/>
        </w:rPr>
        <w:t>   </w:t>
      </w:r>
      <w:r>
        <w:rPr>
          <w:rFonts w:ascii="Microsoft YaHei" w:hAnsi="Microsoft YaHei" w:eastAsia="Microsoft YaHei" w:cs="Microsoft YaHei"/>
          <w:sz w:val="26"/>
          <w:szCs w:val="26"/>
          <w:b/>
          <w:bCs/>
          <w:color w:val="333333"/>
          <w:spacing w:val="-3"/>
          <w:position w:val="21"/>
        </w:rPr>
        <w:t>积极推动会计职能拓展</w:t>
      </w:r>
    </w:p>
    <w:p>
      <w:pPr>
        <w:ind w:firstLine="3708"/>
        <w:spacing w:line="204" w:lineRule="auto"/>
        <w:rPr>
          <w:rFonts w:ascii="Microsoft YaHei" w:hAnsi="Microsoft YaHei" w:eastAsia="Microsoft YaHei" w:cs="Microsoft YaHei"/>
          <w:sz w:val="17"/>
          <w:szCs w:val="17"/>
        </w:rPr>
      </w:pPr>
      <w:r>
        <w:rPr>
          <w:rFonts w:ascii="Microsoft YaHei" w:hAnsi="Microsoft YaHei" w:eastAsia="Microsoft YaHei" w:cs="Microsoft YaHei"/>
          <w:sz w:val="17"/>
          <w:szCs w:val="17"/>
          <w:b/>
          <w:bCs/>
          <w:color w:val="333333"/>
          <w:spacing w:val="2"/>
        </w:rPr>
        <w:t>——《会计改革与发展“十四五”规划纲要》系列解读之九</w:t>
      </w:r>
    </w:p>
    <w:p>
      <w:pPr>
        <w:ind w:firstLine="4720"/>
        <w:spacing w:before="299" w:line="187" w:lineRule="auto"/>
        <w:rPr>
          <w:rFonts w:ascii="SimSun" w:hAnsi="SimSun" w:eastAsia="SimSun" w:cs="SimSun"/>
          <w:sz w:val="17"/>
          <w:szCs w:val="17"/>
        </w:rPr>
      </w:pPr>
      <w:r>
        <w:rPr>
          <w:rFonts w:ascii="SimSun" w:hAnsi="SimSun" w:eastAsia="SimSun" w:cs="SimSun"/>
          <w:sz w:val="17"/>
          <w:szCs w:val="17"/>
          <w:color w:val="333333"/>
        </w:rPr>
        <w:t>2022年4月1日</w:t>
      </w:r>
      <w:r>
        <w:rPr>
          <w:rFonts w:ascii="SimSun" w:hAnsi="SimSun" w:eastAsia="SimSun" w:cs="SimSun"/>
          <w:sz w:val="17"/>
          <w:szCs w:val="17"/>
          <w:color w:val="333333"/>
          <w:spacing w:val="9"/>
        </w:rPr>
        <w:t>  </w:t>
      </w:r>
      <w:r>
        <w:rPr>
          <w:rFonts w:ascii="SimSun" w:hAnsi="SimSun" w:eastAsia="SimSun" w:cs="SimSun"/>
          <w:sz w:val="17"/>
          <w:szCs w:val="17"/>
          <w:color w:val="333333"/>
        </w:rPr>
        <w:t>来源：会计司</w:t>
      </w:r>
    </w:p>
    <w:p>
      <w:pPr>
        <w:ind w:firstLine="1399"/>
        <w:spacing w:before="237" w:line="187" w:lineRule="auto"/>
        <w:rPr>
          <w:rFonts w:ascii="SimSun" w:hAnsi="SimSun" w:eastAsia="SimSun" w:cs="SimSun"/>
          <w:sz w:val="17"/>
          <w:szCs w:val="17"/>
        </w:rPr>
      </w:pPr>
      <w:r>
        <w:rPr>
          <w:rFonts w:ascii="SimSun" w:hAnsi="SimSun" w:eastAsia="SimSun" w:cs="SimSun"/>
          <w:sz w:val="17"/>
          <w:szCs w:val="17"/>
          <w:color w:val="333333"/>
          <w:spacing w:val="5"/>
        </w:rPr>
        <w:t>管理会计工作是会计工作的重要组成部分。全面深化管理会计应用，是增强企业价值创造力，推动企业高质量发展的内在需</w:t>
      </w:r>
    </w:p>
    <w:p>
      <w:pPr>
        <w:ind w:left="1044" w:right="1016"/>
        <w:spacing w:before="129" w:line="327" w:lineRule="auto"/>
        <w:rPr>
          <w:rFonts w:ascii="SimSun" w:hAnsi="SimSun" w:eastAsia="SimSun" w:cs="SimSun"/>
          <w:sz w:val="17"/>
          <w:szCs w:val="17"/>
        </w:rPr>
      </w:pPr>
      <w:r>
        <w:rPr>
          <w:rFonts w:ascii="SimSun" w:hAnsi="SimSun" w:eastAsia="SimSun" w:cs="SimSun"/>
          <w:sz w:val="17"/>
          <w:szCs w:val="17"/>
          <w:color w:val="333333"/>
          <w:spacing w:val="-2"/>
        </w:rPr>
        <w:t>要；</w:t>
      </w:r>
      <w:r>
        <w:rPr>
          <w:rFonts w:ascii="SimSun" w:hAnsi="SimSun" w:eastAsia="SimSun" w:cs="SimSun"/>
          <w:sz w:val="17"/>
          <w:szCs w:val="17"/>
          <w:color w:val="333333"/>
          <w:spacing w:val="47"/>
        </w:rPr>
        <w:t> </w:t>
      </w:r>
      <w:r>
        <w:rPr>
          <w:rFonts w:ascii="SimSun" w:hAnsi="SimSun" w:eastAsia="SimSun" w:cs="SimSun"/>
          <w:sz w:val="17"/>
          <w:szCs w:val="17"/>
          <w:color w:val="333333"/>
          <w:spacing w:val="-2"/>
        </w:rPr>
        <w:t>是推进行政事业单位预算绩效管理、建立事业单位法人治理结构的基本要求；</w:t>
      </w:r>
      <w:r>
        <w:rPr>
          <w:rFonts w:ascii="SimSun" w:hAnsi="SimSun" w:eastAsia="SimSun" w:cs="SimSun"/>
          <w:sz w:val="17"/>
          <w:szCs w:val="17"/>
          <w:color w:val="333333"/>
          <w:spacing w:val="44"/>
          <w:w w:val="101"/>
        </w:rPr>
        <w:t> </w:t>
      </w:r>
      <w:r>
        <w:rPr>
          <w:rFonts w:ascii="SimSun" w:hAnsi="SimSun" w:eastAsia="SimSun" w:cs="SimSun"/>
          <w:sz w:val="17"/>
          <w:szCs w:val="17"/>
          <w:color w:val="333333"/>
          <w:spacing w:val="-2"/>
        </w:rPr>
        <w:t>是建立现代财政制度、推进国家治理体系和治理</w:t>
      </w:r>
      <w:r>
        <w:rPr>
          <w:rFonts w:ascii="SimSun" w:hAnsi="SimSun" w:eastAsia="SimSun" w:cs="SimSun"/>
          <w:sz w:val="17"/>
          <w:szCs w:val="17"/>
          <w:color w:val="333333"/>
        </w:rPr>
        <w:t> </w:t>
      </w:r>
      <w:r>
        <w:rPr>
          <w:rFonts w:ascii="SimSun" w:hAnsi="SimSun" w:eastAsia="SimSun" w:cs="SimSun"/>
          <w:sz w:val="17"/>
          <w:szCs w:val="17"/>
          <w:color w:val="333333"/>
        </w:rPr>
        <w:t>能力现代化的重要举措。2021年11月，财政部印发《会计改革与发展“十四五”规划纲要》</w:t>
      </w:r>
      <w:r>
        <w:rPr>
          <w:rFonts w:ascii="SimSun" w:hAnsi="SimSun" w:eastAsia="SimSun" w:cs="SimSun"/>
          <w:sz w:val="17"/>
          <w:szCs w:val="17"/>
          <w:color w:val="333333"/>
          <w:spacing w:val="62"/>
        </w:rPr>
        <w:t> </w:t>
      </w:r>
      <w:r>
        <w:rPr>
          <w:rFonts w:ascii="SimSun" w:hAnsi="SimSun" w:eastAsia="SimSun" w:cs="SimSun"/>
          <w:sz w:val="17"/>
          <w:szCs w:val="17"/>
          <w:color w:val="333333"/>
        </w:rPr>
        <w:t>，提出了“推动会计职能对内拓展”的</w:t>
      </w:r>
      <w:r>
        <w:rPr>
          <w:rFonts w:ascii="SimSun" w:hAnsi="SimSun" w:eastAsia="SimSun" w:cs="SimSun"/>
          <w:sz w:val="17"/>
          <w:szCs w:val="17"/>
          <w:color w:val="333333"/>
        </w:rPr>
        <w:t> </w:t>
      </w:r>
      <w:r>
        <w:rPr>
          <w:rFonts w:ascii="SimSun" w:hAnsi="SimSun" w:eastAsia="SimSun" w:cs="SimSun"/>
          <w:sz w:val="17"/>
          <w:szCs w:val="17"/>
          <w:color w:val="333333"/>
          <w:spacing w:val="1"/>
        </w:rPr>
        <w:t>主要任务，而全面深化管理会计应用，即是推动会计职能对内拓展的重要任务之一。</w:t>
      </w:r>
    </w:p>
    <w:p>
      <w:pPr>
        <w:ind w:firstLine="1391"/>
        <w:spacing w:before="108" w:line="187" w:lineRule="auto"/>
        <w:rPr>
          <w:rFonts w:ascii="SimSun" w:hAnsi="SimSun" w:eastAsia="SimSun" w:cs="SimSun"/>
          <w:sz w:val="17"/>
          <w:szCs w:val="17"/>
        </w:rPr>
      </w:pPr>
      <w:r>
        <w:rPr>
          <w:rFonts w:ascii="SimSun" w:hAnsi="SimSun" w:eastAsia="SimSun" w:cs="SimSun"/>
          <w:sz w:val="17"/>
          <w:szCs w:val="17"/>
          <w:color w:val="333333"/>
          <w:spacing w:val="11"/>
        </w:rPr>
        <w:t>一、</w:t>
      </w:r>
      <w:r>
        <w:rPr>
          <w:rFonts w:ascii="SimSun" w:hAnsi="SimSun" w:eastAsia="SimSun" w:cs="SimSun"/>
          <w:sz w:val="17"/>
          <w:szCs w:val="17"/>
          <w:color w:val="333333"/>
          <w:spacing w:val="-63"/>
        </w:rPr>
        <w:t> </w:t>
      </w:r>
      <w:r>
        <w:rPr>
          <w:rFonts w:ascii="SimSun" w:hAnsi="SimSun" w:eastAsia="SimSun" w:cs="SimSun"/>
          <w:sz w:val="17"/>
          <w:szCs w:val="17"/>
          <w:color w:val="333333"/>
          <w:spacing w:val="11"/>
        </w:rPr>
        <w:t>“十三五”时期管理会计工作取得的主要成绩</w:t>
      </w:r>
    </w:p>
    <w:p>
      <w:pPr>
        <w:ind w:left="1044" w:right="1016" w:firstLine="334"/>
        <w:spacing w:before="237" w:line="327" w:lineRule="auto"/>
        <w:rPr>
          <w:rFonts w:ascii="SimSun" w:hAnsi="SimSun" w:eastAsia="SimSun" w:cs="SimSun"/>
          <w:sz w:val="17"/>
          <w:szCs w:val="17"/>
        </w:rPr>
      </w:pPr>
      <w:r>
        <w:rPr>
          <w:rFonts w:ascii="SimSun" w:hAnsi="SimSun" w:eastAsia="SimSun" w:cs="SimSun"/>
          <w:sz w:val="17"/>
          <w:szCs w:val="17"/>
          <w:color w:val="333333"/>
          <w:spacing w:val="2"/>
        </w:rPr>
        <w:t>“十三五”期间，财政部立足国情，创新机制，以发展与我国社会主义市场经济体制相适应的管理会计为目标，加强管理会计</w:t>
      </w:r>
      <w:r>
        <w:rPr>
          <w:rFonts w:ascii="SimSun" w:hAnsi="SimSun" w:eastAsia="SimSun" w:cs="SimSun"/>
          <w:sz w:val="17"/>
          <w:szCs w:val="17"/>
          <w:color w:val="333333"/>
          <w:spacing w:val="44"/>
        </w:rPr>
        <w:t> </w:t>
      </w:r>
      <w:r>
        <w:rPr>
          <w:rFonts w:ascii="SimSun" w:hAnsi="SimSun" w:eastAsia="SimSun" w:cs="SimSun"/>
          <w:sz w:val="17"/>
          <w:szCs w:val="17"/>
          <w:color w:val="333333"/>
          <w:spacing w:val="2"/>
        </w:rPr>
        <w:t>体系建设，推动管理会计指引体系实施，积极提升会计工作管理效能。以管理会计基本指引为统领、以管理会计应用指引为具体指</w:t>
      </w:r>
      <w:r>
        <w:rPr>
          <w:rFonts w:ascii="SimSun" w:hAnsi="SimSun" w:eastAsia="SimSun" w:cs="SimSun"/>
          <w:sz w:val="17"/>
          <w:szCs w:val="17"/>
          <w:color w:val="333333"/>
          <w:spacing w:val="34"/>
        </w:rPr>
        <w:t> </w:t>
      </w:r>
      <w:r>
        <w:rPr>
          <w:rFonts w:ascii="SimSun" w:hAnsi="SimSun" w:eastAsia="SimSun" w:cs="SimSun"/>
          <w:sz w:val="17"/>
          <w:szCs w:val="17"/>
          <w:color w:val="333333"/>
          <w:spacing w:val="2"/>
        </w:rPr>
        <w:t>导、以管理会计案例示范为补充的管理会计指引体系基本建成，管理会计理论研究成果不断丰富，管理会计信息化支撑蓬勃发展，</w:t>
      </w:r>
      <w:r>
        <w:rPr>
          <w:rFonts w:ascii="SimSun" w:hAnsi="SimSun" w:eastAsia="SimSun" w:cs="SimSun"/>
          <w:sz w:val="17"/>
          <w:szCs w:val="17"/>
          <w:color w:val="333333"/>
          <w:spacing w:val="34"/>
        </w:rPr>
        <w:t> </w:t>
      </w:r>
      <w:r>
        <w:rPr>
          <w:rFonts w:ascii="SimSun" w:hAnsi="SimSun" w:eastAsia="SimSun" w:cs="SimSun"/>
          <w:sz w:val="17"/>
          <w:szCs w:val="17"/>
          <w:color w:val="333333"/>
        </w:rPr>
        <w:t>管理会计人才队伍培养和建设不断加强。</w:t>
      </w:r>
    </w:p>
    <w:p>
      <w:pPr>
        <w:ind w:left="1043" w:right="1016" w:firstLine="351"/>
        <w:spacing w:before="111" w:line="327" w:lineRule="auto"/>
        <w:rPr>
          <w:rFonts w:ascii="SimSun" w:hAnsi="SimSun" w:eastAsia="SimSun" w:cs="SimSun"/>
          <w:sz w:val="17"/>
          <w:szCs w:val="17"/>
        </w:rPr>
      </w:pPr>
      <w:r>
        <w:rPr>
          <w:rFonts w:ascii="SimSun" w:hAnsi="SimSun" w:eastAsia="SimSun" w:cs="SimSun"/>
          <w:sz w:val="17"/>
          <w:szCs w:val="17"/>
          <w:color w:val="333333"/>
        </w:rPr>
        <w:t>（一）管理会计指引体系基本建成并发挥效用。为贯彻落实《财政部关于全面推进管理会计体系建设的指导意见》</w:t>
      </w:r>
      <w:r>
        <w:rPr>
          <w:rFonts w:ascii="SimSun" w:hAnsi="SimSun" w:eastAsia="SimSun" w:cs="SimSun"/>
          <w:sz w:val="17"/>
          <w:szCs w:val="17"/>
          <w:color w:val="333333"/>
          <w:spacing w:val="52"/>
        </w:rPr>
        <w:t> </w:t>
      </w:r>
      <w:r>
        <w:rPr>
          <w:rFonts w:ascii="SimSun" w:hAnsi="SimSun" w:eastAsia="SimSun" w:cs="SimSun"/>
          <w:sz w:val="17"/>
          <w:szCs w:val="17"/>
          <w:color w:val="333333"/>
        </w:rPr>
        <w:t>，按照“入</w:t>
      </w:r>
      <w:r>
        <w:rPr>
          <w:rFonts w:ascii="SimSun" w:hAnsi="SimSun" w:eastAsia="SimSun" w:cs="SimSun"/>
          <w:sz w:val="17"/>
          <w:szCs w:val="17"/>
          <w:color w:val="333333"/>
        </w:rPr>
        <w:t> </w:t>
      </w:r>
      <w:r>
        <w:rPr>
          <w:rFonts w:ascii="SimSun" w:hAnsi="SimSun" w:eastAsia="SimSun" w:cs="SimSun"/>
          <w:sz w:val="17"/>
          <w:szCs w:val="17"/>
          <w:color w:val="333333"/>
          <w:spacing w:val="2"/>
        </w:rPr>
        <w:t>企业、入学术、入院校、入国际”的根本要求，</w:t>
      </w:r>
      <w:r>
        <w:rPr>
          <w:rFonts w:ascii="SimSun" w:hAnsi="SimSun" w:eastAsia="SimSun" w:cs="SimSun"/>
          <w:sz w:val="17"/>
          <w:szCs w:val="17"/>
          <w:color w:val="333333"/>
          <w:spacing w:val="-50"/>
        </w:rPr>
        <w:t> </w:t>
      </w:r>
      <w:r>
        <w:rPr>
          <w:rFonts w:ascii="SimSun" w:hAnsi="SimSun" w:eastAsia="SimSun" w:cs="SimSun"/>
          <w:sz w:val="17"/>
          <w:szCs w:val="17"/>
          <w:color w:val="333333"/>
          <w:spacing w:val="2"/>
        </w:rPr>
        <w:t>“十三五”时期，财政部积极构建管理会计指引体系。一是建立储备，开展专项课</w:t>
      </w:r>
      <w:r>
        <w:rPr>
          <w:rFonts w:ascii="SimSun" w:hAnsi="SimSun" w:eastAsia="SimSun" w:cs="SimSun"/>
          <w:sz w:val="17"/>
          <w:szCs w:val="17"/>
          <w:color w:val="333333"/>
        </w:rPr>
        <w:t> </w:t>
      </w:r>
      <w:r>
        <w:rPr>
          <w:rFonts w:ascii="SimSun" w:hAnsi="SimSun" w:eastAsia="SimSun" w:cs="SimSun"/>
          <w:sz w:val="17"/>
          <w:szCs w:val="17"/>
          <w:color w:val="333333"/>
          <w:spacing w:val="2"/>
        </w:rPr>
        <w:t>题研究。2016年、2017年连续两年，财政部在积极宣传管理会计理念的同时，推动管理会计指引体系与实践相结合，认真引导开展</w:t>
      </w:r>
      <w:r>
        <w:rPr>
          <w:rFonts w:ascii="SimSun" w:hAnsi="SimSun" w:eastAsia="SimSun" w:cs="SimSun"/>
          <w:sz w:val="17"/>
          <w:szCs w:val="17"/>
          <w:color w:val="333333"/>
          <w:spacing w:val="27"/>
        </w:rPr>
        <w:t> </w:t>
      </w:r>
      <w:r>
        <w:rPr>
          <w:rFonts w:ascii="SimSun" w:hAnsi="SimSun" w:eastAsia="SimSun" w:cs="SimSun"/>
          <w:sz w:val="17"/>
          <w:szCs w:val="17"/>
          <w:color w:val="333333"/>
          <w:spacing w:val="3"/>
        </w:rPr>
        <w:t>管理会计研究，完成了47项管理会计专项课题研究，开展管理会计征文和案例征集活动，共收到征文1095篇，案例近700个，为构</w:t>
      </w:r>
      <w:r>
        <w:rPr>
          <w:rFonts w:ascii="SimSun" w:hAnsi="SimSun" w:eastAsia="SimSun" w:cs="SimSun"/>
          <w:sz w:val="17"/>
          <w:szCs w:val="17"/>
          <w:color w:val="333333"/>
          <w:spacing w:val="51"/>
        </w:rPr>
        <w:t> </w:t>
      </w:r>
      <w:r>
        <w:rPr>
          <w:rFonts w:ascii="SimSun" w:hAnsi="SimSun" w:eastAsia="SimSun" w:cs="SimSun"/>
          <w:sz w:val="17"/>
          <w:szCs w:val="17"/>
          <w:color w:val="333333"/>
          <w:spacing w:val="2"/>
        </w:rPr>
        <w:t>建统一、科学、有效的管理会计指引体系做好技术储备。二是奠定基础，发布管理会计基本指引。管理会计基本指引是建立指引体</w:t>
      </w:r>
      <w:r>
        <w:rPr>
          <w:rFonts w:ascii="SimSun" w:hAnsi="SimSun" w:eastAsia="SimSun" w:cs="SimSun"/>
          <w:sz w:val="17"/>
          <w:szCs w:val="17"/>
          <w:color w:val="333333"/>
          <w:spacing w:val="35"/>
        </w:rPr>
        <w:t> </w:t>
      </w:r>
      <w:r>
        <w:rPr>
          <w:rFonts w:ascii="SimSun" w:hAnsi="SimSun" w:eastAsia="SimSun" w:cs="SimSun"/>
          <w:sz w:val="17"/>
          <w:szCs w:val="17"/>
          <w:color w:val="333333"/>
          <w:spacing w:val="2"/>
        </w:rPr>
        <w:t>系的首要工作，也是制定应用指引和案例库的基础，对应用指引、案例库起到统驭作用。2016年，为推进管理会计指引体系建设，</w:t>
      </w:r>
      <w:r>
        <w:rPr>
          <w:rFonts w:ascii="SimSun" w:hAnsi="SimSun" w:eastAsia="SimSun" w:cs="SimSun"/>
          <w:sz w:val="17"/>
          <w:szCs w:val="17"/>
          <w:color w:val="333333"/>
          <w:spacing w:val="31"/>
        </w:rPr>
        <w:t> </w:t>
      </w:r>
      <w:r>
        <w:rPr>
          <w:rFonts w:ascii="SimSun" w:hAnsi="SimSun" w:eastAsia="SimSun" w:cs="SimSun"/>
          <w:sz w:val="17"/>
          <w:szCs w:val="17"/>
          <w:color w:val="333333"/>
        </w:rPr>
        <w:t>切实指导管理会计实践，立足国情、借鉴国际，财政部制定发布了《管理会计基本指引》</w:t>
      </w:r>
      <w:r>
        <w:rPr>
          <w:rFonts w:ascii="SimSun" w:hAnsi="SimSun" w:eastAsia="SimSun" w:cs="SimSun"/>
          <w:sz w:val="17"/>
          <w:szCs w:val="17"/>
          <w:color w:val="333333"/>
          <w:spacing w:val="64"/>
        </w:rPr>
        <w:t> </w:t>
      </w:r>
      <w:r>
        <w:rPr>
          <w:rFonts w:ascii="SimSun" w:hAnsi="SimSun" w:eastAsia="SimSun" w:cs="SimSun"/>
          <w:sz w:val="17"/>
          <w:szCs w:val="17"/>
          <w:color w:val="333333"/>
        </w:rPr>
        <w:t>，将管理会计普遍规律上升到标准，对管</w:t>
      </w:r>
      <w:r>
        <w:rPr>
          <w:rFonts w:ascii="SimSun" w:hAnsi="SimSun" w:eastAsia="SimSun" w:cs="SimSun"/>
          <w:sz w:val="17"/>
          <w:szCs w:val="17"/>
          <w:color w:val="333333"/>
        </w:rPr>
        <w:t> </w:t>
      </w:r>
      <w:r>
        <w:rPr>
          <w:rFonts w:ascii="SimSun" w:hAnsi="SimSun" w:eastAsia="SimSun" w:cs="SimSun"/>
          <w:sz w:val="17"/>
          <w:szCs w:val="17"/>
          <w:color w:val="333333"/>
          <w:spacing w:val="2"/>
        </w:rPr>
        <w:t>理会计应用的核心内容进行总结、提炼，为管理会计体系建设提供了保障。三是搭建主体，发布管理会计应用指引。在管理会计指</w:t>
      </w:r>
      <w:r>
        <w:rPr>
          <w:rFonts w:ascii="SimSun" w:hAnsi="SimSun" w:eastAsia="SimSun" w:cs="SimSun"/>
          <w:sz w:val="17"/>
          <w:szCs w:val="17"/>
          <w:color w:val="333333"/>
          <w:spacing w:val="35"/>
        </w:rPr>
        <w:t> </w:t>
      </w:r>
      <w:r>
        <w:rPr>
          <w:rFonts w:ascii="SimSun" w:hAnsi="SimSun" w:eastAsia="SimSun" w:cs="SimSun"/>
          <w:sz w:val="17"/>
          <w:szCs w:val="17"/>
          <w:color w:val="333333"/>
          <w:spacing w:val="2"/>
        </w:rPr>
        <w:t>引体系中，应用指引居于主体地位，是对单位如何正确、有效地选择和应用管理会计工具方法提供的具体指导。本着“先急后缓，</w:t>
      </w:r>
      <w:r>
        <w:rPr>
          <w:rFonts w:ascii="SimSun" w:hAnsi="SimSun" w:eastAsia="SimSun" w:cs="SimSun"/>
          <w:sz w:val="17"/>
          <w:szCs w:val="17"/>
          <w:color w:val="333333"/>
          <w:spacing w:val="35"/>
        </w:rPr>
        <w:t> </w:t>
      </w:r>
      <w:r>
        <w:rPr>
          <w:rFonts w:ascii="SimSun" w:hAnsi="SimSun" w:eastAsia="SimSun" w:cs="SimSun"/>
          <w:sz w:val="17"/>
          <w:szCs w:val="17"/>
          <w:color w:val="333333"/>
          <w:spacing w:val="2"/>
        </w:rPr>
        <w:t>先一般业务后特殊业务，成熟一批、发布一批”的原则，2017年以来，财政部分批发布系列管理会计应用指引，并随着实践的发展</w:t>
      </w:r>
      <w:r>
        <w:rPr>
          <w:rFonts w:ascii="SimSun" w:hAnsi="SimSun" w:eastAsia="SimSun" w:cs="SimSun"/>
          <w:sz w:val="17"/>
          <w:szCs w:val="17"/>
          <w:color w:val="333333"/>
          <w:spacing w:val="31"/>
        </w:rPr>
        <w:t> </w:t>
      </w:r>
      <w:r>
        <w:rPr>
          <w:rFonts w:ascii="SimSun" w:hAnsi="SimSun" w:eastAsia="SimSun" w:cs="SimSun"/>
          <w:sz w:val="17"/>
          <w:szCs w:val="17"/>
          <w:color w:val="333333"/>
          <w:spacing w:val="-3"/>
        </w:rPr>
        <w:t>而不断丰富完善。2017年9月29</w:t>
      </w:r>
      <w:r>
        <w:rPr>
          <w:rFonts w:ascii="SimSun" w:hAnsi="SimSun" w:eastAsia="SimSun" w:cs="SimSun"/>
          <w:sz w:val="17"/>
          <w:szCs w:val="17"/>
          <w:color w:val="333333"/>
          <w:spacing w:val="-36"/>
        </w:rPr>
        <w:t> </w:t>
      </w:r>
      <w:r>
        <w:rPr>
          <w:rFonts w:ascii="SimSun" w:hAnsi="SimSun" w:eastAsia="SimSun" w:cs="SimSun"/>
          <w:sz w:val="17"/>
          <w:szCs w:val="17"/>
          <w:color w:val="333333"/>
          <w:spacing w:val="-3"/>
        </w:rPr>
        <w:t>日，发布《管理会计应用指引第100号----战略管理》</w:t>
      </w:r>
      <w:r>
        <w:rPr>
          <w:rFonts w:ascii="SimSun" w:hAnsi="SimSun" w:eastAsia="SimSun" w:cs="SimSun"/>
          <w:sz w:val="17"/>
          <w:szCs w:val="17"/>
          <w:color w:val="333333"/>
          <w:spacing w:val="-7"/>
        </w:rPr>
        <w:t> </w:t>
      </w:r>
      <w:r>
        <w:rPr>
          <w:rFonts w:ascii="SimSun" w:hAnsi="SimSun" w:eastAsia="SimSun" w:cs="SimSun"/>
          <w:sz w:val="17"/>
          <w:szCs w:val="17"/>
          <w:color w:val="333333"/>
          <w:spacing w:val="-3"/>
        </w:rPr>
        <w:t>（财会〔2017〕</w:t>
      </w:r>
      <w:r>
        <w:rPr>
          <w:rFonts w:ascii="SimSun" w:hAnsi="SimSun" w:eastAsia="SimSun" w:cs="SimSun"/>
          <w:sz w:val="17"/>
          <w:szCs w:val="17"/>
          <w:color w:val="333333"/>
          <w:spacing w:val="38"/>
        </w:rPr>
        <w:t> </w:t>
      </w:r>
      <w:r>
        <w:rPr>
          <w:rFonts w:ascii="SimSun" w:hAnsi="SimSun" w:eastAsia="SimSun" w:cs="SimSun"/>
          <w:sz w:val="17"/>
          <w:szCs w:val="17"/>
          <w:color w:val="333333"/>
          <w:spacing w:val="-3"/>
        </w:rPr>
        <w:t>24号）</w:t>
      </w:r>
      <w:r>
        <w:rPr>
          <w:rFonts w:ascii="SimSun" w:hAnsi="SimSun" w:eastAsia="SimSun" w:cs="SimSun"/>
          <w:sz w:val="17"/>
          <w:szCs w:val="17"/>
          <w:color w:val="333333"/>
          <w:spacing w:val="18"/>
        </w:rPr>
        <w:t> </w:t>
      </w:r>
      <w:r>
        <w:rPr>
          <w:rFonts w:ascii="SimSun" w:hAnsi="SimSun" w:eastAsia="SimSun" w:cs="SimSun"/>
          <w:sz w:val="17"/>
          <w:szCs w:val="17"/>
          <w:color w:val="333333"/>
          <w:spacing w:val="-3"/>
        </w:rPr>
        <w:t>等首批22项管理会计应</w:t>
      </w:r>
      <w:r>
        <w:rPr>
          <w:rFonts w:ascii="SimSun" w:hAnsi="SimSun" w:eastAsia="SimSun" w:cs="SimSun"/>
          <w:sz w:val="17"/>
          <w:szCs w:val="17"/>
          <w:color w:val="333333"/>
        </w:rPr>
        <w:t> </w:t>
      </w:r>
      <w:r>
        <w:rPr>
          <w:rFonts w:ascii="SimSun" w:hAnsi="SimSun" w:eastAsia="SimSun" w:cs="SimSun"/>
          <w:sz w:val="17"/>
          <w:szCs w:val="17"/>
          <w:color w:val="333333"/>
          <w:spacing w:val="-2"/>
        </w:rPr>
        <w:t>用指引。2018年8月17</w:t>
      </w:r>
      <w:r>
        <w:rPr>
          <w:rFonts w:ascii="SimSun" w:hAnsi="SimSun" w:eastAsia="SimSun" w:cs="SimSun"/>
          <w:sz w:val="17"/>
          <w:szCs w:val="17"/>
          <w:color w:val="333333"/>
          <w:spacing w:val="-22"/>
        </w:rPr>
        <w:t> </w:t>
      </w:r>
      <w:r>
        <w:rPr>
          <w:rFonts w:ascii="SimSun" w:hAnsi="SimSun" w:eastAsia="SimSun" w:cs="SimSun"/>
          <w:sz w:val="17"/>
          <w:szCs w:val="17"/>
          <w:color w:val="333333"/>
          <w:spacing w:val="-2"/>
        </w:rPr>
        <w:t>日，发布《管理会计应用指引第202号----零基预算》</w:t>
      </w:r>
      <w:r>
        <w:rPr>
          <w:rFonts w:ascii="SimSun" w:hAnsi="SimSun" w:eastAsia="SimSun" w:cs="SimSun"/>
          <w:sz w:val="17"/>
          <w:szCs w:val="17"/>
          <w:color w:val="333333"/>
          <w:spacing w:val="-5"/>
        </w:rPr>
        <w:t> </w:t>
      </w:r>
      <w:r>
        <w:rPr>
          <w:rFonts w:ascii="SimSun" w:hAnsi="SimSun" w:eastAsia="SimSun" w:cs="SimSun"/>
          <w:sz w:val="17"/>
          <w:szCs w:val="17"/>
          <w:color w:val="333333"/>
          <w:spacing w:val="-2"/>
        </w:rPr>
        <w:t>（财会〔2018〕</w:t>
      </w:r>
      <w:r>
        <w:rPr>
          <w:rFonts w:ascii="SimSun" w:hAnsi="SimSun" w:eastAsia="SimSun" w:cs="SimSun"/>
          <w:sz w:val="17"/>
          <w:szCs w:val="17"/>
          <w:color w:val="333333"/>
          <w:spacing w:val="39"/>
          <w:w w:val="101"/>
        </w:rPr>
        <w:t> </w:t>
      </w:r>
      <w:r>
        <w:rPr>
          <w:rFonts w:ascii="SimSun" w:hAnsi="SimSun" w:eastAsia="SimSun" w:cs="SimSun"/>
          <w:sz w:val="17"/>
          <w:szCs w:val="17"/>
          <w:color w:val="333333"/>
          <w:spacing w:val="-2"/>
        </w:rPr>
        <w:t>22号）</w:t>
      </w:r>
      <w:r>
        <w:rPr>
          <w:rFonts w:ascii="SimSun" w:hAnsi="SimSun" w:eastAsia="SimSun" w:cs="SimSun"/>
          <w:sz w:val="17"/>
          <w:szCs w:val="17"/>
          <w:color w:val="333333"/>
          <w:spacing w:val="19"/>
        </w:rPr>
        <w:t> </w:t>
      </w:r>
      <w:r>
        <w:rPr>
          <w:rFonts w:ascii="SimSun" w:hAnsi="SimSun" w:eastAsia="SimSun" w:cs="SimSun"/>
          <w:sz w:val="17"/>
          <w:szCs w:val="17"/>
          <w:color w:val="333333"/>
          <w:spacing w:val="-2"/>
        </w:rPr>
        <w:t>等7项管理会计应用指引。2018</w:t>
      </w:r>
      <w:r>
        <w:rPr>
          <w:rFonts w:ascii="SimSun" w:hAnsi="SimSun" w:eastAsia="SimSun" w:cs="SimSun"/>
          <w:sz w:val="17"/>
          <w:szCs w:val="17"/>
          <w:color w:val="333333"/>
        </w:rPr>
        <w:t> </w:t>
      </w:r>
      <w:r>
        <w:rPr>
          <w:rFonts w:ascii="SimSun" w:hAnsi="SimSun" w:eastAsia="SimSun" w:cs="SimSun"/>
          <w:sz w:val="17"/>
          <w:szCs w:val="17"/>
          <w:color w:val="333333"/>
          <w:spacing w:val="-3"/>
        </w:rPr>
        <w:t>年12月27</w:t>
      </w:r>
      <w:r>
        <w:rPr>
          <w:rFonts w:ascii="SimSun" w:hAnsi="SimSun" w:eastAsia="SimSun" w:cs="SimSun"/>
          <w:sz w:val="17"/>
          <w:szCs w:val="17"/>
          <w:color w:val="333333"/>
          <w:spacing w:val="-37"/>
        </w:rPr>
        <w:t> </w:t>
      </w:r>
      <w:r>
        <w:rPr>
          <w:rFonts w:ascii="SimSun" w:hAnsi="SimSun" w:eastAsia="SimSun" w:cs="SimSun"/>
          <w:sz w:val="17"/>
          <w:szCs w:val="17"/>
          <w:color w:val="333333"/>
          <w:spacing w:val="-3"/>
        </w:rPr>
        <w:t>日，发布《管理会计应用指引第204号----作业预算》</w:t>
      </w:r>
      <w:r>
        <w:rPr>
          <w:rFonts w:ascii="SimSun" w:hAnsi="SimSun" w:eastAsia="SimSun" w:cs="SimSun"/>
          <w:sz w:val="17"/>
          <w:szCs w:val="17"/>
          <w:color w:val="333333"/>
          <w:spacing w:val="-6"/>
        </w:rPr>
        <w:t> </w:t>
      </w:r>
      <w:r>
        <w:rPr>
          <w:rFonts w:ascii="SimSun" w:hAnsi="SimSun" w:eastAsia="SimSun" w:cs="SimSun"/>
          <w:sz w:val="17"/>
          <w:szCs w:val="17"/>
          <w:color w:val="333333"/>
          <w:spacing w:val="-3"/>
        </w:rPr>
        <w:t>（财会〔2018〕</w:t>
      </w:r>
      <w:r>
        <w:rPr>
          <w:rFonts w:ascii="SimSun" w:hAnsi="SimSun" w:eastAsia="SimSun" w:cs="SimSun"/>
          <w:sz w:val="17"/>
          <w:szCs w:val="17"/>
          <w:color w:val="333333"/>
          <w:spacing w:val="39"/>
        </w:rPr>
        <w:t> </w:t>
      </w:r>
      <w:r>
        <w:rPr>
          <w:rFonts w:ascii="SimSun" w:hAnsi="SimSun" w:eastAsia="SimSun" w:cs="SimSun"/>
          <w:sz w:val="17"/>
          <w:szCs w:val="17"/>
          <w:color w:val="333333"/>
          <w:spacing w:val="-3"/>
        </w:rPr>
        <w:t>38号）</w:t>
      </w:r>
      <w:r>
        <w:rPr>
          <w:rFonts w:ascii="SimSun" w:hAnsi="SimSun" w:eastAsia="SimSun" w:cs="SimSun"/>
          <w:sz w:val="17"/>
          <w:szCs w:val="17"/>
          <w:color w:val="333333"/>
          <w:spacing w:val="17"/>
        </w:rPr>
        <w:t> </w:t>
      </w:r>
      <w:r>
        <w:rPr>
          <w:rFonts w:ascii="SimSun" w:hAnsi="SimSun" w:eastAsia="SimSun" w:cs="SimSun"/>
          <w:sz w:val="17"/>
          <w:szCs w:val="17"/>
          <w:color w:val="333333"/>
          <w:spacing w:val="-3"/>
        </w:rPr>
        <w:t>等第三批5项管理会计应用指引。截至2018年</w:t>
      </w:r>
      <w:r>
        <w:rPr>
          <w:rFonts w:ascii="SimSun" w:hAnsi="SimSun" w:eastAsia="SimSun" w:cs="SimSun"/>
          <w:sz w:val="17"/>
          <w:szCs w:val="17"/>
          <w:color w:val="333333"/>
        </w:rPr>
        <w:t> </w:t>
      </w:r>
      <w:r>
        <w:rPr>
          <w:rFonts w:ascii="SimSun" w:hAnsi="SimSun" w:eastAsia="SimSun" w:cs="SimSun"/>
          <w:sz w:val="17"/>
          <w:szCs w:val="17"/>
          <w:color w:val="333333"/>
          <w:spacing w:val="3"/>
        </w:rPr>
        <w:t>底，共制定印发了34项管理会计应用指引，包括7项概括性指引和27项工具方法指引，概括性指引主要介绍本领域内相关管理会计</w:t>
      </w:r>
      <w:r>
        <w:rPr>
          <w:rFonts w:ascii="SimSun" w:hAnsi="SimSun" w:eastAsia="SimSun" w:cs="SimSun"/>
          <w:sz w:val="17"/>
          <w:szCs w:val="17"/>
          <w:color w:val="333333"/>
          <w:spacing w:val="57"/>
        </w:rPr>
        <w:t> </w:t>
      </w:r>
      <w:r>
        <w:rPr>
          <w:rFonts w:ascii="SimSun" w:hAnsi="SimSun" w:eastAsia="SimSun" w:cs="SimSun"/>
          <w:sz w:val="17"/>
          <w:szCs w:val="17"/>
          <w:color w:val="333333"/>
          <w:spacing w:val="1"/>
        </w:rPr>
        <w:t>工具方法的共性内容，工具方法指引主要介绍相关工具方法的应用环境、应用程序和应用评价等。</w:t>
      </w:r>
    </w:p>
    <w:p>
      <w:pPr>
        <w:ind w:left="1044" w:right="1016" w:firstLine="346"/>
        <w:spacing w:before="108" w:line="327" w:lineRule="auto"/>
        <w:rPr>
          <w:rFonts w:ascii="SimSun" w:hAnsi="SimSun" w:eastAsia="SimSun" w:cs="SimSun"/>
          <w:sz w:val="17"/>
          <w:szCs w:val="17"/>
        </w:rPr>
      </w:pPr>
      <w:r>
        <w:rPr>
          <w:rFonts w:ascii="SimSun" w:hAnsi="SimSun" w:eastAsia="SimSun" w:cs="SimSun"/>
          <w:sz w:val="17"/>
          <w:szCs w:val="17"/>
          <w:color w:val="333333"/>
        </w:rPr>
        <w:t>至此，标志着我国管理会计指引体系基本建成。该指引体系包括</w:t>
      </w:r>
      <w:r>
        <w:rPr>
          <w:rFonts w:ascii="SimSun" w:hAnsi="SimSun" w:eastAsia="SimSun" w:cs="SimSun"/>
          <w:sz w:val="17"/>
          <w:szCs w:val="17"/>
          <w:color w:val="333333"/>
          <w:spacing w:val="-14"/>
        </w:rPr>
        <w:t> </w:t>
      </w:r>
      <w:r>
        <w:rPr>
          <w:rFonts w:ascii="SimSun" w:hAnsi="SimSun" w:eastAsia="SimSun" w:cs="SimSun"/>
          <w:sz w:val="17"/>
          <w:szCs w:val="17"/>
          <w:color w:val="333333"/>
        </w:rPr>
        <w:t>１</w:t>
      </w:r>
      <w:r>
        <w:rPr>
          <w:rFonts w:ascii="SimSun" w:hAnsi="SimSun" w:eastAsia="SimSun" w:cs="SimSun"/>
          <w:sz w:val="17"/>
          <w:szCs w:val="17"/>
          <w:color w:val="333333"/>
          <w:spacing w:val="-15"/>
        </w:rPr>
        <w:t> </w:t>
      </w:r>
      <w:r>
        <w:rPr>
          <w:rFonts w:ascii="SimSun" w:hAnsi="SimSun" w:eastAsia="SimSun" w:cs="SimSun"/>
          <w:sz w:val="17"/>
          <w:szCs w:val="17"/>
          <w:color w:val="333333"/>
        </w:rPr>
        <w:t>项管理会计基本指引和34项应用指引，分别按照战略管理、</w:t>
      </w:r>
      <w:r>
        <w:rPr>
          <w:rFonts w:ascii="SimSun" w:hAnsi="SimSun" w:eastAsia="SimSun" w:cs="SimSun"/>
          <w:sz w:val="17"/>
          <w:szCs w:val="17"/>
          <w:color w:val="333333"/>
        </w:rPr>
        <w:t> </w:t>
      </w:r>
      <w:r>
        <w:rPr>
          <w:rFonts w:ascii="SimSun" w:hAnsi="SimSun" w:eastAsia="SimSun" w:cs="SimSun"/>
          <w:sz w:val="17"/>
          <w:szCs w:val="17"/>
          <w:color w:val="333333"/>
          <w:spacing w:val="2"/>
        </w:rPr>
        <w:t>预算管理、成本管理、营运管理、投融资管理、绩效管理和其他领域，介绍了不同领域的管理会计工具方法，精准施策，切实增强</w:t>
      </w:r>
      <w:r>
        <w:rPr>
          <w:rFonts w:ascii="SimSun" w:hAnsi="SimSun" w:eastAsia="SimSun" w:cs="SimSun"/>
          <w:sz w:val="17"/>
          <w:szCs w:val="17"/>
          <w:color w:val="333333"/>
          <w:spacing w:val="33"/>
          <w:w w:val="101"/>
        </w:rPr>
        <w:t> </w:t>
      </w:r>
      <w:r>
        <w:rPr>
          <w:rFonts w:ascii="SimSun" w:hAnsi="SimSun" w:eastAsia="SimSun" w:cs="SimSun"/>
          <w:sz w:val="17"/>
          <w:szCs w:val="17"/>
          <w:color w:val="333333"/>
          <w:spacing w:val="2"/>
        </w:rPr>
        <w:t>标准的针对性、指导性、操作性。管理会计指引体系开创了国际管理会计领域先河，起到了优化资源配置、降低要素成本、提高管</w:t>
      </w:r>
      <w:r>
        <w:rPr>
          <w:rFonts w:ascii="SimSun" w:hAnsi="SimSun" w:eastAsia="SimSun" w:cs="SimSun"/>
          <w:sz w:val="17"/>
          <w:szCs w:val="17"/>
          <w:color w:val="333333"/>
          <w:spacing w:val="33"/>
          <w:w w:val="101"/>
        </w:rPr>
        <w:t> </w:t>
      </w:r>
      <w:r>
        <w:rPr>
          <w:rFonts w:ascii="SimSun" w:hAnsi="SimSun" w:eastAsia="SimSun" w:cs="SimSun"/>
          <w:sz w:val="17"/>
          <w:szCs w:val="17"/>
          <w:color w:val="333333"/>
          <w:spacing w:val="-2"/>
        </w:rPr>
        <w:t>理效率的重要作用。</w:t>
      </w:r>
    </w:p>
    <w:p>
      <w:pPr>
        <w:ind w:left="1043" w:right="1016" w:firstLine="352"/>
        <w:spacing w:before="109" w:line="327" w:lineRule="auto"/>
        <w:rPr>
          <w:rFonts w:ascii="SimSun" w:hAnsi="SimSun" w:eastAsia="SimSun" w:cs="SimSun"/>
          <w:sz w:val="17"/>
          <w:szCs w:val="17"/>
        </w:rPr>
      </w:pPr>
      <w:r>
        <w:rPr>
          <w:rFonts w:ascii="SimSun" w:hAnsi="SimSun" w:eastAsia="SimSun" w:cs="SimSun"/>
          <w:sz w:val="17"/>
          <w:szCs w:val="17"/>
          <w:color w:val="333333"/>
        </w:rPr>
        <w:t>（二）</w:t>
      </w:r>
      <w:r>
        <w:rPr>
          <w:rFonts w:ascii="SimSun" w:hAnsi="SimSun" w:eastAsia="SimSun" w:cs="SimSun"/>
          <w:sz w:val="17"/>
          <w:szCs w:val="17"/>
          <w:color w:val="333333"/>
          <w:spacing w:val="51"/>
          <w:w w:val="101"/>
        </w:rPr>
        <w:t> </w:t>
      </w:r>
      <w:r>
        <w:rPr>
          <w:rFonts w:ascii="SimSun" w:hAnsi="SimSun" w:eastAsia="SimSun" w:cs="SimSun"/>
          <w:sz w:val="17"/>
          <w:szCs w:val="17"/>
          <w:color w:val="333333"/>
        </w:rPr>
        <w:t>管理会计理论研究成果不断丰富。一是指导实践，建立开放式管理会计案例库。案例库是管理会计指引体系的重要组成</w:t>
      </w:r>
      <w:r>
        <w:rPr>
          <w:rFonts w:ascii="SimSun" w:hAnsi="SimSun" w:eastAsia="SimSun" w:cs="SimSun"/>
          <w:sz w:val="17"/>
          <w:szCs w:val="17"/>
          <w:color w:val="333333"/>
        </w:rPr>
        <w:t> </w:t>
      </w:r>
      <w:r>
        <w:rPr>
          <w:rFonts w:ascii="SimSun" w:hAnsi="SimSun" w:eastAsia="SimSun" w:cs="SimSun"/>
          <w:sz w:val="17"/>
          <w:szCs w:val="17"/>
          <w:color w:val="333333"/>
          <w:spacing w:val="2"/>
        </w:rPr>
        <w:t>部分，是管理会计指引指导实践的有效途径。财政部自2016年初开始建设管理会计案例库，发布“案例库的开发与构建研究”专项</w:t>
      </w:r>
      <w:r>
        <w:rPr>
          <w:rFonts w:ascii="SimSun" w:hAnsi="SimSun" w:eastAsia="SimSun" w:cs="SimSun"/>
          <w:sz w:val="17"/>
          <w:szCs w:val="17"/>
          <w:color w:val="333333"/>
          <w:spacing w:val="31"/>
        </w:rPr>
        <w:t> </w:t>
      </w:r>
      <w:r>
        <w:rPr>
          <w:rFonts w:ascii="SimSun" w:hAnsi="SimSun" w:eastAsia="SimSun" w:cs="SimSun"/>
          <w:sz w:val="17"/>
          <w:szCs w:val="17"/>
          <w:color w:val="333333"/>
          <w:spacing w:val="2"/>
        </w:rPr>
        <w:t>课题，以建立中国管理会计实践操作示范为目标，以培养管理会计人才为目的，确定了管理会计案例库的基本目标、功能定位及其</w:t>
      </w:r>
      <w:r>
        <w:rPr>
          <w:rFonts w:ascii="SimSun" w:hAnsi="SimSun" w:eastAsia="SimSun" w:cs="SimSun"/>
          <w:sz w:val="17"/>
          <w:szCs w:val="17"/>
          <w:color w:val="333333"/>
          <w:spacing w:val="35"/>
        </w:rPr>
        <w:t> </w:t>
      </w:r>
      <w:r>
        <w:rPr>
          <w:rFonts w:ascii="SimSun" w:hAnsi="SimSun" w:eastAsia="SimSun" w:cs="SimSun"/>
          <w:sz w:val="17"/>
          <w:szCs w:val="17"/>
          <w:color w:val="333333"/>
        </w:rPr>
        <w:t>实现机制、示范案例的写作规范等。印发了《关于开展管理会计案例征集活动的通知》</w:t>
      </w:r>
      <w:r>
        <w:rPr>
          <w:rFonts w:ascii="SimSun" w:hAnsi="SimSun" w:eastAsia="SimSun" w:cs="SimSun"/>
          <w:sz w:val="17"/>
          <w:szCs w:val="17"/>
          <w:color w:val="333333"/>
          <w:spacing w:val="-4"/>
        </w:rPr>
        <w:t> </w:t>
      </w:r>
      <w:r>
        <w:rPr>
          <w:rFonts w:ascii="SimSun" w:hAnsi="SimSun" w:eastAsia="SimSun" w:cs="SimSun"/>
          <w:sz w:val="17"/>
          <w:szCs w:val="17"/>
          <w:color w:val="333333"/>
        </w:rPr>
        <w:t>（财办会〔2016〕</w:t>
      </w:r>
      <w:r>
        <w:rPr>
          <w:rFonts w:ascii="SimSun" w:hAnsi="SimSun" w:eastAsia="SimSun" w:cs="SimSun"/>
          <w:sz w:val="17"/>
          <w:szCs w:val="17"/>
          <w:color w:val="333333"/>
          <w:spacing w:val="36"/>
          <w:w w:val="101"/>
        </w:rPr>
        <w:t> </w:t>
      </w:r>
      <w:r>
        <w:rPr>
          <w:rFonts w:ascii="SimSun" w:hAnsi="SimSun" w:eastAsia="SimSun" w:cs="SimSun"/>
          <w:sz w:val="17"/>
          <w:szCs w:val="17"/>
          <w:color w:val="333333"/>
        </w:rPr>
        <w:t>4号</w:t>
      </w:r>
      <w:r>
        <w:rPr>
          <w:rFonts w:ascii="SimSun" w:hAnsi="SimSun" w:eastAsia="SimSun" w:cs="SimSun"/>
          <w:sz w:val="17"/>
          <w:szCs w:val="17"/>
          <w:color w:val="333333"/>
          <w:spacing w:val="-42"/>
        </w:rPr>
        <w:t>）</w:t>
      </w:r>
      <w:r>
        <w:rPr>
          <w:rFonts w:ascii="SimSun" w:hAnsi="SimSun" w:eastAsia="SimSun" w:cs="SimSun"/>
          <w:sz w:val="17"/>
          <w:szCs w:val="17"/>
          <w:color w:val="333333"/>
          <w:spacing w:val="30"/>
        </w:rPr>
        <w:t> </w:t>
      </w:r>
      <w:r>
        <w:rPr>
          <w:rFonts w:ascii="SimSun" w:hAnsi="SimSun" w:eastAsia="SimSun" w:cs="SimSun"/>
          <w:sz w:val="17"/>
          <w:szCs w:val="17"/>
          <w:color w:val="333333"/>
          <w:spacing w:val="-42"/>
        </w:rPr>
        <w:t>，</w:t>
      </w:r>
      <w:r>
        <w:rPr>
          <w:rFonts w:ascii="SimSun" w:hAnsi="SimSun" w:eastAsia="SimSun" w:cs="SimSun"/>
          <w:sz w:val="17"/>
          <w:szCs w:val="17"/>
          <w:color w:val="333333"/>
        </w:rPr>
        <w:t>在全国范围开展</w:t>
      </w:r>
      <w:r>
        <w:rPr>
          <w:rFonts w:ascii="SimSun" w:hAnsi="SimSun" w:eastAsia="SimSun" w:cs="SimSun"/>
          <w:sz w:val="17"/>
          <w:szCs w:val="17"/>
          <w:color w:val="333333"/>
        </w:rPr>
        <w:t> </w:t>
      </w:r>
      <w:r>
        <w:rPr>
          <w:rFonts w:ascii="SimSun" w:hAnsi="SimSun" w:eastAsia="SimSun" w:cs="SimSun"/>
          <w:sz w:val="17"/>
          <w:szCs w:val="17"/>
          <w:color w:val="333333"/>
          <w:spacing w:val="2"/>
        </w:rPr>
        <w:t>案例征集活动，历经案例征集、案例初评、示范案例交流培训、专家评审和案例修改等阶段，建立了开放式管理会计案例库，第一</w:t>
      </w:r>
      <w:r>
        <w:rPr>
          <w:rFonts w:ascii="SimSun" w:hAnsi="SimSun" w:eastAsia="SimSun" w:cs="SimSun"/>
          <w:sz w:val="17"/>
          <w:szCs w:val="17"/>
          <w:color w:val="333333"/>
          <w:spacing w:val="35"/>
        </w:rPr>
        <w:t> </w:t>
      </w:r>
      <w:r>
        <w:rPr>
          <w:rFonts w:ascii="SimSun" w:hAnsi="SimSun" w:eastAsia="SimSun" w:cs="SimSun"/>
          <w:sz w:val="17"/>
          <w:szCs w:val="17"/>
          <w:color w:val="333333"/>
          <w:spacing w:val="2"/>
        </w:rPr>
        <w:t>批收录54个案例。入库案例具备较高的规范性、典型性和示范性，总结、推广了我国管理会计实践经验，推进单位对管理会计应用</w:t>
      </w:r>
      <w:r>
        <w:rPr>
          <w:rFonts w:ascii="SimSun" w:hAnsi="SimSun" w:eastAsia="SimSun" w:cs="SimSun"/>
          <w:sz w:val="17"/>
          <w:szCs w:val="17"/>
          <w:color w:val="333333"/>
          <w:spacing w:val="33"/>
        </w:rPr>
        <w:t> </w:t>
      </w:r>
      <w:r>
        <w:rPr>
          <w:rFonts w:ascii="SimSun" w:hAnsi="SimSun" w:eastAsia="SimSun" w:cs="SimSun"/>
          <w:sz w:val="17"/>
          <w:szCs w:val="17"/>
          <w:color w:val="333333"/>
        </w:rPr>
        <w:t>指引的理解和应用，达到了为管理会计应用指引提供实例示范的要求。2019年出版了《管理会计案例示范集》</w:t>
      </w:r>
      <w:r>
        <w:rPr>
          <w:rFonts w:ascii="SimSun" w:hAnsi="SimSun" w:eastAsia="SimSun" w:cs="SimSun"/>
          <w:sz w:val="17"/>
          <w:szCs w:val="17"/>
          <w:color w:val="333333"/>
          <w:spacing w:val="64"/>
        </w:rPr>
        <w:t> </w:t>
      </w:r>
      <w:r>
        <w:rPr>
          <w:rFonts w:ascii="SimSun" w:hAnsi="SimSun" w:eastAsia="SimSun" w:cs="SimSun"/>
          <w:sz w:val="17"/>
          <w:szCs w:val="17"/>
          <w:color w:val="333333"/>
        </w:rPr>
        <w:t>，具体展示了相关管</w:t>
      </w:r>
      <w:r>
        <w:rPr>
          <w:rFonts w:ascii="SimSun" w:hAnsi="SimSun" w:eastAsia="SimSun" w:cs="SimSun"/>
          <w:sz w:val="17"/>
          <w:szCs w:val="17"/>
          <w:color w:val="333333"/>
        </w:rPr>
        <w:t> </w:t>
      </w:r>
      <w:r>
        <w:rPr>
          <w:rFonts w:ascii="SimSun" w:hAnsi="SimSun" w:eastAsia="SimSun" w:cs="SimSun"/>
          <w:sz w:val="17"/>
          <w:szCs w:val="17"/>
          <w:color w:val="333333"/>
          <w:spacing w:val="2"/>
        </w:rPr>
        <w:t>理会计工具方法在不同行业、不同性质、不同规模单位中的应用，帮助相关人员全面理解和掌握管理会计应用指引，为单位应用相</w:t>
      </w:r>
    </w:p>
    <w:p>
      <w:pPr>
        <w:ind w:firstLine="539"/>
        <w:spacing w:before="52" w:line="218" w:lineRule="exact"/>
        <w:rPr>
          <w:rFonts w:ascii="Arial" w:hAnsi="Arial" w:eastAsia="Arial" w:cs="Arial"/>
          <w:sz w:val="16"/>
          <w:szCs w:val="16"/>
        </w:rPr>
      </w:pPr>
      <w:r>
        <w:rPr>
          <w:rFonts w:ascii="Arial" w:hAnsi="Arial" w:eastAsia="Arial" w:cs="Arial"/>
          <w:sz w:val="16"/>
          <w:szCs w:val="16"/>
          <w:spacing w:val="-1"/>
        </w:rPr>
        <w:t>kjs.mof.gov.cn/zhengcejiedu/202203/t20220325_3798431.htm</w:t>
      </w:r>
      <w:r>
        <w:rPr>
          <w:rFonts w:ascii="Arial" w:hAnsi="Arial" w:eastAsia="Arial" w:cs="Arial"/>
          <w:sz w:val="16"/>
          <w:szCs w:val="16"/>
        </w:rPr>
        <w:t>                                                                                                                                            </w:t>
      </w:r>
      <w:r>
        <w:rPr>
          <w:rFonts w:ascii="Arial" w:hAnsi="Arial" w:eastAsia="Arial" w:cs="Arial"/>
          <w:sz w:val="16"/>
          <w:szCs w:val="16"/>
          <w:spacing w:val="-1"/>
        </w:rPr>
        <w:t>1/4</w:t>
      </w:r>
    </w:p>
    <w:p>
      <w:pPr>
        <w:sectPr>
          <w:type w:val="continuous"/>
          <w:pgSz w:w="11900" w:h="16839"/>
          <w:pgMar w:top="0" w:right="0" w:bottom="0" w:left="0" w:header="0" w:footer="0" w:gutter="0"/>
          <w:cols w:equalWidth="0" w:num="1">
            <w:col w:w="11900" w:space="0"/>
          </w:cols>
        </w:sectPr>
        <w:rPr/>
      </w:pPr>
    </w:p>
    <w:p>
      <w:pPr>
        <w:ind w:firstLine="533"/>
        <w:spacing w:before="293" w:line="191" w:lineRule="auto"/>
        <w:rPr>
          <w:rFonts w:ascii="Microsoft YaHei" w:hAnsi="Microsoft YaHei" w:eastAsia="Microsoft YaHei" w:cs="Microsoft YaHei"/>
          <w:sz w:val="16"/>
          <w:szCs w:val="16"/>
        </w:rPr>
      </w:pPr>
      <w:r>
        <w:rPr>
          <w:rFonts w:ascii="Arial" w:hAnsi="Arial" w:eastAsia="Arial" w:cs="Arial"/>
          <w:sz w:val="16"/>
          <w:szCs w:val="16"/>
          <w:spacing w:val="-2"/>
          <w:position w:val="1"/>
        </w:rPr>
        <w:t>2022/4/27</w:t>
      </w:r>
      <w:r>
        <w:rPr>
          <w:rFonts w:ascii="Arial" w:hAnsi="Arial" w:eastAsia="Arial" w:cs="Arial"/>
          <w:sz w:val="16"/>
          <w:szCs w:val="16"/>
          <w:spacing w:val="1"/>
          <w:position w:val="1"/>
        </w:rPr>
        <w:t>                                      </w:t>
      </w:r>
      <w:r>
        <w:rPr>
          <w:rFonts w:ascii="Microsoft YaHei" w:hAnsi="Microsoft YaHei" w:eastAsia="Microsoft YaHei" w:cs="Microsoft YaHei"/>
          <w:sz w:val="16"/>
          <w:szCs w:val="16"/>
          <w:spacing w:val="-2"/>
        </w:rPr>
        <w:t>全面深化管理会计应用</w:t>
      </w:r>
      <w:r>
        <w:rPr>
          <w:rFonts w:ascii="Microsoft YaHei" w:hAnsi="Microsoft YaHei" w:eastAsia="Microsoft YaHei" w:cs="Microsoft YaHei"/>
          <w:sz w:val="16"/>
          <w:szCs w:val="16"/>
          <w:spacing w:val="10"/>
          <w:w w:val="101"/>
        </w:rPr>
        <w:t>   </w:t>
      </w:r>
      <w:r>
        <w:rPr>
          <w:rFonts w:ascii="Microsoft YaHei" w:hAnsi="Microsoft YaHei" w:eastAsia="Microsoft YaHei" w:cs="Microsoft YaHei"/>
          <w:sz w:val="16"/>
          <w:szCs w:val="16"/>
          <w:spacing w:val="-2"/>
        </w:rPr>
        <w:t>积极推动会计职能拓展</w:t>
      </w:r>
      <w:r>
        <w:rPr>
          <w:rFonts w:ascii="Arial" w:hAnsi="Arial" w:eastAsia="Arial" w:cs="Arial"/>
          <w:sz w:val="16"/>
          <w:szCs w:val="16"/>
          <w:spacing w:val="-2"/>
        </w:rPr>
        <w:t>——</w:t>
      </w:r>
      <w:r>
        <w:rPr>
          <w:rFonts w:ascii="Arial" w:hAnsi="Arial" w:eastAsia="Arial" w:cs="Arial"/>
          <w:sz w:val="16"/>
          <w:szCs w:val="16"/>
          <w:spacing w:val="34"/>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规划纲要》系列解读之九</w:t>
      </w:r>
    </w:p>
    <w:p>
      <w:pPr>
        <w:ind w:left="1042" w:right="1016" w:firstLine="4"/>
        <w:spacing w:before="137" w:line="327" w:lineRule="auto"/>
        <w:rPr>
          <w:rFonts w:ascii="SimSun" w:hAnsi="SimSun" w:eastAsia="SimSun" w:cs="SimSun"/>
          <w:sz w:val="17"/>
          <w:szCs w:val="17"/>
        </w:rPr>
      </w:pPr>
      <w:r>
        <w:rPr>
          <w:rFonts w:ascii="SimSun" w:hAnsi="SimSun" w:eastAsia="SimSun" w:cs="SimSun"/>
          <w:sz w:val="17"/>
          <w:szCs w:val="17"/>
          <w:color w:val="333333"/>
          <w:spacing w:val="2"/>
        </w:rPr>
        <w:t>关管理会计工具方法提供参考。同时，充分利用管理会计专项课题、部校长期共建课题等研究成果，多渠道增加示范案例，不断充</w:t>
      </w:r>
      <w:r>
        <w:rPr>
          <w:rFonts w:ascii="SimSun" w:hAnsi="SimSun" w:eastAsia="SimSun" w:cs="SimSun"/>
          <w:sz w:val="17"/>
          <w:szCs w:val="17"/>
          <w:color w:val="333333"/>
          <w:spacing w:val="31"/>
          <w:w w:val="101"/>
        </w:rPr>
        <w:t> </w:t>
      </w:r>
      <w:r>
        <w:rPr>
          <w:rFonts w:ascii="SimSun" w:hAnsi="SimSun" w:eastAsia="SimSun" w:cs="SimSun"/>
          <w:sz w:val="17"/>
          <w:szCs w:val="17"/>
          <w:color w:val="333333"/>
          <w:spacing w:val="2"/>
        </w:rPr>
        <w:t>实丰富案例库。实践证明，管理会计案例库作为管理会计指引体系的重要组成部分，对管理会计各项指引的落地实施，以及推动管</w:t>
      </w:r>
      <w:r>
        <w:rPr>
          <w:rFonts w:ascii="SimSun" w:hAnsi="SimSun" w:eastAsia="SimSun" w:cs="SimSun"/>
          <w:sz w:val="17"/>
          <w:szCs w:val="17"/>
          <w:color w:val="333333"/>
          <w:spacing w:val="36"/>
        </w:rPr>
        <w:t> </w:t>
      </w:r>
      <w:r>
        <w:rPr>
          <w:rFonts w:ascii="SimSun" w:hAnsi="SimSun" w:eastAsia="SimSun" w:cs="SimSun"/>
          <w:sz w:val="17"/>
          <w:szCs w:val="17"/>
          <w:color w:val="333333"/>
          <w:spacing w:val="2"/>
        </w:rPr>
        <w:t>理会计实践创新，起到重要的示范引领作用。二是巩固管理会计咨询专家机制成效。管理会计咨询专家机制自建立以来，充分发挥</w:t>
      </w:r>
      <w:r>
        <w:rPr>
          <w:rFonts w:ascii="SimSun" w:hAnsi="SimSun" w:eastAsia="SimSun" w:cs="SimSun"/>
          <w:sz w:val="17"/>
          <w:szCs w:val="17"/>
          <w:color w:val="333333"/>
          <w:spacing w:val="36"/>
        </w:rPr>
        <w:t> </w:t>
      </w:r>
      <w:r>
        <w:rPr>
          <w:rFonts w:ascii="SimSun" w:hAnsi="SimSun" w:eastAsia="SimSun" w:cs="SimSun"/>
          <w:sz w:val="17"/>
          <w:szCs w:val="17"/>
          <w:color w:val="333333"/>
          <w:spacing w:val="2"/>
        </w:rPr>
        <w:t>了服务管理会计政策制定的智库作用，有效连接了管理会计理论界和实务界，推动了管理会计各项工作加快发展，为管理会计体系</w:t>
      </w:r>
      <w:r>
        <w:rPr>
          <w:rFonts w:ascii="SimSun" w:hAnsi="SimSun" w:eastAsia="SimSun" w:cs="SimSun"/>
          <w:sz w:val="17"/>
          <w:szCs w:val="17"/>
          <w:color w:val="333333"/>
          <w:spacing w:val="36"/>
        </w:rPr>
        <w:t> </w:t>
      </w:r>
      <w:r>
        <w:rPr>
          <w:rFonts w:ascii="SimSun" w:hAnsi="SimSun" w:eastAsia="SimSun" w:cs="SimSun"/>
          <w:sz w:val="17"/>
          <w:szCs w:val="17"/>
          <w:color w:val="333333"/>
          <w:spacing w:val="2"/>
        </w:rPr>
        <w:t>建设提供了有力机制保障。为巩固咨询专家机制作用，团结专家队伍、凝聚专家力量、发挥专家优势，财政部于2016年、2019年公</w:t>
      </w:r>
      <w:r>
        <w:rPr>
          <w:rFonts w:ascii="SimSun" w:hAnsi="SimSun" w:eastAsia="SimSun" w:cs="SimSun"/>
          <w:sz w:val="17"/>
          <w:szCs w:val="17"/>
          <w:color w:val="333333"/>
          <w:spacing w:val="28"/>
        </w:rPr>
        <w:t> </w:t>
      </w:r>
      <w:r>
        <w:rPr>
          <w:rFonts w:ascii="SimSun" w:hAnsi="SimSun" w:eastAsia="SimSun" w:cs="SimSun"/>
          <w:sz w:val="17"/>
          <w:szCs w:val="17"/>
          <w:color w:val="333333"/>
          <w:spacing w:val="2"/>
        </w:rPr>
        <w:t>开选聘了财政部第二、三届管理会计咨询专家，达到了凝聚发展管理会计的思想共识，扩大管理会计影响力的效果。三是开展管理</w:t>
      </w:r>
      <w:r>
        <w:rPr>
          <w:rFonts w:ascii="SimSun" w:hAnsi="SimSun" w:eastAsia="SimSun" w:cs="SimSun"/>
          <w:sz w:val="17"/>
          <w:szCs w:val="17"/>
          <w:color w:val="333333"/>
          <w:spacing w:val="36"/>
        </w:rPr>
        <w:t> </w:t>
      </w:r>
      <w:r>
        <w:rPr>
          <w:rFonts w:ascii="SimSun" w:hAnsi="SimSun" w:eastAsia="SimSun" w:cs="SimSun"/>
          <w:sz w:val="17"/>
          <w:szCs w:val="17"/>
          <w:color w:val="333333"/>
        </w:rPr>
        <w:t>会计行业研究。2018年印发《企业产品成本核算制度----电网经营行业》</w:t>
      </w:r>
      <w:r>
        <w:rPr>
          <w:rFonts w:ascii="SimSun" w:hAnsi="SimSun" w:eastAsia="SimSun" w:cs="SimSun"/>
          <w:sz w:val="17"/>
          <w:szCs w:val="17"/>
          <w:color w:val="333333"/>
          <w:spacing w:val="65"/>
        </w:rPr>
        <w:t> </w:t>
      </w:r>
      <w:r>
        <w:rPr>
          <w:rFonts w:ascii="SimSun" w:hAnsi="SimSun" w:eastAsia="SimSun" w:cs="SimSun"/>
          <w:sz w:val="17"/>
          <w:szCs w:val="17"/>
          <w:color w:val="333333"/>
        </w:rPr>
        <w:t>，规范电网经营企业产品成本核算，促进电网经营企业加</w:t>
      </w:r>
      <w:r>
        <w:rPr>
          <w:rFonts w:ascii="SimSun" w:hAnsi="SimSun" w:eastAsia="SimSun" w:cs="SimSun"/>
          <w:sz w:val="17"/>
          <w:szCs w:val="17"/>
          <w:color w:val="333333"/>
        </w:rPr>
        <w:t> </w:t>
      </w:r>
      <w:r>
        <w:rPr>
          <w:rFonts w:ascii="SimSun" w:hAnsi="SimSun" w:eastAsia="SimSun" w:cs="SimSun"/>
          <w:sz w:val="17"/>
          <w:szCs w:val="17"/>
          <w:color w:val="333333"/>
          <w:spacing w:val="2"/>
        </w:rPr>
        <w:t>强成本管理。2020年，财政部及时组织管理会计咨询专家研究分析疫情对各行业单位的影响，组成十个专家小组，分产业分行业开</w:t>
      </w:r>
      <w:r>
        <w:rPr>
          <w:rFonts w:ascii="SimSun" w:hAnsi="SimSun" w:eastAsia="SimSun" w:cs="SimSun"/>
          <w:sz w:val="17"/>
          <w:szCs w:val="17"/>
          <w:color w:val="333333"/>
          <w:spacing w:val="32"/>
        </w:rPr>
        <w:t> </w:t>
      </w:r>
      <w:r>
        <w:rPr>
          <w:rFonts w:ascii="SimSun" w:hAnsi="SimSun" w:eastAsia="SimSun" w:cs="SimSun"/>
          <w:sz w:val="17"/>
          <w:szCs w:val="17"/>
          <w:color w:val="333333"/>
          <w:spacing w:val="2"/>
        </w:rPr>
        <w:t>展调研和访谈，向社会公开发布五辑“管理会计行业调研报告及案例”</w:t>
      </w:r>
      <w:r>
        <w:rPr>
          <w:rFonts w:ascii="SimSun" w:hAnsi="SimSun" w:eastAsia="SimSun" w:cs="SimSun"/>
          <w:sz w:val="17"/>
          <w:szCs w:val="17"/>
          <w:color w:val="333333"/>
          <w:spacing w:val="-49"/>
        </w:rPr>
        <w:t> </w:t>
      </w:r>
      <w:r>
        <w:rPr>
          <w:rFonts w:ascii="SimSun" w:hAnsi="SimSun" w:eastAsia="SimSun" w:cs="SimSun"/>
          <w:sz w:val="17"/>
          <w:szCs w:val="17"/>
          <w:color w:val="333333"/>
          <w:spacing w:val="2"/>
        </w:rPr>
        <w:t>，该调研报告将各行业灵活运用管理会计加强与改进单位管</w:t>
      </w:r>
      <w:r>
        <w:rPr>
          <w:rFonts w:ascii="SimSun" w:hAnsi="SimSun" w:eastAsia="SimSun" w:cs="SimSun"/>
          <w:sz w:val="17"/>
          <w:szCs w:val="17"/>
          <w:color w:val="333333"/>
        </w:rPr>
        <w:t> </w:t>
      </w:r>
      <w:r>
        <w:rPr>
          <w:rFonts w:ascii="SimSun" w:hAnsi="SimSun" w:eastAsia="SimSun" w:cs="SimSun"/>
          <w:sz w:val="17"/>
          <w:szCs w:val="17"/>
          <w:color w:val="333333"/>
          <w:spacing w:val="2"/>
        </w:rPr>
        <w:t>理、对冲疫情影响的经验做法以案例形式公布，供各行业单位进行参考，助力行业单位提质增效。四是加强管理会计国际交流和宣</w:t>
      </w:r>
      <w:r>
        <w:rPr>
          <w:rFonts w:ascii="SimSun" w:hAnsi="SimSun" w:eastAsia="SimSun" w:cs="SimSun"/>
          <w:sz w:val="17"/>
          <w:szCs w:val="17"/>
          <w:color w:val="333333"/>
          <w:spacing w:val="36"/>
        </w:rPr>
        <w:t> </w:t>
      </w:r>
      <w:r>
        <w:rPr>
          <w:rFonts w:ascii="SimSun" w:hAnsi="SimSun" w:eastAsia="SimSun" w:cs="SimSun"/>
          <w:sz w:val="17"/>
          <w:szCs w:val="17"/>
          <w:color w:val="333333"/>
          <w:spacing w:val="2"/>
        </w:rPr>
        <w:t>传。为借鉴国际管理会计发展经验，推动和宣传我国管理会计体系建设，财政部从2019年起获得国际会计师联合会下属工商业界职</w:t>
      </w:r>
      <w:r>
        <w:rPr>
          <w:rFonts w:ascii="SimSun" w:hAnsi="SimSun" w:eastAsia="SimSun" w:cs="SimSun"/>
          <w:sz w:val="17"/>
          <w:szCs w:val="17"/>
          <w:color w:val="333333"/>
          <w:spacing w:val="32"/>
        </w:rPr>
        <w:t> </w:t>
      </w:r>
      <w:r>
        <w:rPr>
          <w:rFonts w:ascii="SimSun" w:hAnsi="SimSun" w:eastAsia="SimSun" w:cs="SimSun"/>
          <w:sz w:val="17"/>
          <w:szCs w:val="17"/>
          <w:color w:val="333333"/>
          <w:spacing w:val="2"/>
        </w:rPr>
        <w:t>业会计师委员会委员席位，深入参与工商业界会计人员面临新技术的挑战及其对财务职能发展趋势的影响、风险管理、业绩管理等</w:t>
      </w:r>
      <w:r>
        <w:rPr>
          <w:rFonts w:ascii="SimSun" w:hAnsi="SimSun" w:eastAsia="SimSun" w:cs="SimSun"/>
          <w:sz w:val="17"/>
          <w:szCs w:val="17"/>
          <w:color w:val="333333"/>
          <w:spacing w:val="36"/>
        </w:rPr>
        <w:t> </w:t>
      </w:r>
      <w:r>
        <w:rPr>
          <w:rFonts w:ascii="SimSun" w:hAnsi="SimSun" w:eastAsia="SimSun" w:cs="SimSun"/>
          <w:sz w:val="17"/>
          <w:szCs w:val="17"/>
          <w:color w:val="333333"/>
          <w:spacing w:val="1"/>
        </w:rPr>
        <w:t>管理会计议题，并积极介绍和宣传我国推进管理会计工作的成果，加强我国在国际管理会计研究和制定领域的话语权。</w:t>
      </w:r>
    </w:p>
    <w:p>
      <w:pPr>
        <w:ind w:left="1044" w:right="1016" w:firstLine="351"/>
        <w:spacing w:before="108" w:line="327" w:lineRule="auto"/>
        <w:rPr>
          <w:rFonts w:ascii="SimSun" w:hAnsi="SimSun" w:eastAsia="SimSun" w:cs="SimSun"/>
          <w:sz w:val="17"/>
          <w:szCs w:val="17"/>
        </w:rPr>
      </w:pPr>
      <w:r>
        <w:rPr>
          <w:rFonts w:ascii="SimSun" w:hAnsi="SimSun" w:eastAsia="SimSun" w:cs="SimSun"/>
          <w:sz w:val="17"/>
          <w:szCs w:val="17"/>
          <w:color w:val="333333"/>
        </w:rPr>
        <w:t>（三）</w:t>
      </w:r>
      <w:r>
        <w:rPr>
          <w:rFonts w:ascii="SimSun" w:hAnsi="SimSun" w:eastAsia="SimSun" w:cs="SimSun"/>
          <w:sz w:val="17"/>
          <w:szCs w:val="17"/>
          <w:color w:val="333333"/>
          <w:spacing w:val="14"/>
          <w:w w:val="101"/>
        </w:rPr>
        <w:t> </w:t>
      </w:r>
      <w:r>
        <w:rPr>
          <w:rFonts w:ascii="SimSun" w:hAnsi="SimSun" w:eastAsia="SimSun" w:cs="SimSun"/>
          <w:sz w:val="17"/>
          <w:szCs w:val="17"/>
          <w:color w:val="333333"/>
        </w:rPr>
        <w:t>管理会计信息化支撑蓬勃发展。一是国内大型企业基本都建立了共享服务中心。</w:t>
      </w:r>
      <w:r>
        <w:rPr>
          <w:rFonts w:ascii="SimSun" w:hAnsi="SimSun" w:eastAsia="SimSun" w:cs="SimSun"/>
          <w:sz w:val="17"/>
          <w:szCs w:val="17"/>
          <w:color w:val="333333"/>
          <w:spacing w:val="-48"/>
        </w:rPr>
        <w:t> </w:t>
      </w:r>
      <w:r>
        <w:rPr>
          <w:rFonts w:ascii="SimSun" w:hAnsi="SimSun" w:eastAsia="SimSun" w:cs="SimSun"/>
          <w:sz w:val="17"/>
          <w:szCs w:val="17"/>
          <w:color w:val="333333"/>
        </w:rPr>
        <w:t>自建立管理会计指引体系以来，越来越</w:t>
      </w:r>
      <w:r>
        <w:rPr>
          <w:rFonts w:ascii="SimSun" w:hAnsi="SimSun" w:eastAsia="SimSun" w:cs="SimSun"/>
          <w:sz w:val="17"/>
          <w:szCs w:val="17"/>
          <w:color w:val="333333"/>
        </w:rPr>
        <w:t> </w:t>
      </w:r>
      <w:r>
        <w:rPr>
          <w:rFonts w:ascii="SimSun" w:hAnsi="SimSun" w:eastAsia="SimSun" w:cs="SimSun"/>
          <w:sz w:val="17"/>
          <w:szCs w:val="17"/>
          <w:color w:val="333333"/>
          <w:spacing w:val="2"/>
        </w:rPr>
        <w:t>多的企业开始重视管理会计信息化建设，借助先进的信息技术，建立起财务和业务共享的信息平台，推进财务工作不断向业务领域</w:t>
      </w:r>
      <w:r>
        <w:rPr>
          <w:rFonts w:ascii="SimSun" w:hAnsi="SimSun" w:eastAsia="SimSun" w:cs="SimSun"/>
          <w:sz w:val="17"/>
          <w:szCs w:val="17"/>
          <w:color w:val="333333"/>
          <w:spacing w:val="34"/>
        </w:rPr>
        <w:t> </w:t>
      </w:r>
      <w:r>
        <w:rPr>
          <w:rFonts w:ascii="SimSun" w:hAnsi="SimSun" w:eastAsia="SimSun" w:cs="SimSun"/>
          <w:sz w:val="17"/>
          <w:szCs w:val="17"/>
          <w:color w:val="333333"/>
          <w:spacing w:val="2"/>
        </w:rPr>
        <w:t>全过程延伸，促进公司管控能力的提升。通过业务系统与财务系统的高度集成和融合，实现信息的自动传递和转化，从而支持企业</w:t>
      </w:r>
      <w:r>
        <w:rPr>
          <w:rFonts w:ascii="SimSun" w:hAnsi="SimSun" w:eastAsia="SimSun" w:cs="SimSun"/>
          <w:sz w:val="17"/>
          <w:szCs w:val="17"/>
          <w:color w:val="333333"/>
          <w:spacing w:val="34"/>
        </w:rPr>
        <w:t> </w:t>
      </w:r>
      <w:r>
        <w:rPr>
          <w:rFonts w:ascii="SimSun" w:hAnsi="SimSun" w:eastAsia="SimSun" w:cs="SimSun"/>
          <w:sz w:val="17"/>
          <w:szCs w:val="17"/>
          <w:color w:val="333333"/>
          <w:spacing w:val="2"/>
        </w:rPr>
        <w:t>核算的自动处理和信息存储，产生管理决策所需要的会计信息，支撑企业管理决策，促进了业财融合和管理会计应用。二是以信息</w:t>
      </w:r>
      <w:r>
        <w:rPr>
          <w:rFonts w:ascii="SimSun" w:hAnsi="SimSun" w:eastAsia="SimSun" w:cs="SimSun"/>
          <w:sz w:val="17"/>
          <w:szCs w:val="17"/>
          <w:color w:val="333333"/>
          <w:spacing w:val="34"/>
        </w:rPr>
        <w:t> </w:t>
      </w:r>
      <w:r>
        <w:rPr>
          <w:rFonts w:ascii="SimSun" w:hAnsi="SimSun" w:eastAsia="SimSun" w:cs="SimSun"/>
          <w:sz w:val="17"/>
          <w:szCs w:val="17"/>
          <w:color w:val="333333"/>
          <w:spacing w:val="2"/>
        </w:rPr>
        <w:t>化手段为企业管理决策提供服务。将会计信息系统与企业的业务信息系统融会贯通，</w:t>
      </w:r>
      <w:r>
        <w:rPr>
          <w:rFonts w:ascii="SimSun" w:hAnsi="SimSun" w:eastAsia="SimSun" w:cs="SimSun"/>
          <w:sz w:val="17"/>
          <w:szCs w:val="17"/>
          <w:color w:val="333333"/>
          <w:spacing w:val="-51"/>
        </w:rPr>
        <w:t> </w:t>
      </w:r>
      <w:r>
        <w:rPr>
          <w:rFonts w:ascii="SimSun" w:hAnsi="SimSun" w:eastAsia="SimSun" w:cs="SimSun"/>
          <w:sz w:val="17"/>
          <w:szCs w:val="17"/>
          <w:color w:val="333333"/>
          <w:spacing w:val="2"/>
        </w:rPr>
        <w:t>“十三五”时期，以云计算为基础的“软件即</w:t>
      </w:r>
      <w:r>
        <w:rPr>
          <w:rFonts w:ascii="SimSun" w:hAnsi="SimSun" w:eastAsia="SimSun" w:cs="SimSun"/>
          <w:sz w:val="17"/>
          <w:szCs w:val="17"/>
          <w:color w:val="333333"/>
        </w:rPr>
        <w:t> </w:t>
      </w:r>
      <w:r>
        <w:rPr>
          <w:rFonts w:ascii="SimSun" w:hAnsi="SimSun" w:eastAsia="SimSun" w:cs="SimSun"/>
          <w:sz w:val="17"/>
          <w:szCs w:val="17"/>
          <w:color w:val="333333"/>
        </w:rPr>
        <w:t>服务”模式（SAAS）</w:t>
      </w:r>
      <w:r>
        <w:rPr>
          <w:rFonts w:ascii="SimSun" w:hAnsi="SimSun" w:eastAsia="SimSun" w:cs="SimSun"/>
          <w:sz w:val="17"/>
          <w:szCs w:val="17"/>
          <w:color w:val="333333"/>
          <w:spacing w:val="63"/>
        </w:rPr>
        <w:t> </w:t>
      </w:r>
      <w:r>
        <w:rPr>
          <w:rFonts w:ascii="SimSun" w:hAnsi="SimSun" w:eastAsia="SimSun" w:cs="SimSun"/>
          <w:sz w:val="17"/>
          <w:szCs w:val="17"/>
          <w:color w:val="333333"/>
        </w:rPr>
        <w:t>已占中小企业财务软件市场70%以上，其中包含经济活动分析等基本的管理会计功能；60%以上的大型企业集团</w:t>
      </w:r>
      <w:r>
        <w:rPr>
          <w:rFonts w:ascii="SimSun" w:hAnsi="SimSun" w:eastAsia="SimSun" w:cs="SimSun"/>
          <w:sz w:val="17"/>
          <w:szCs w:val="17"/>
          <w:color w:val="333333"/>
        </w:rPr>
        <w:t> </w:t>
      </w:r>
      <w:r>
        <w:rPr>
          <w:rFonts w:ascii="SimSun" w:hAnsi="SimSun" w:eastAsia="SimSun" w:cs="SimSun"/>
          <w:sz w:val="17"/>
          <w:szCs w:val="17"/>
          <w:color w:val="333333"/>
          <w:spacing w:val="1"/>
        </w:rPr>
        <w:t>利用了云技术，为管理会计应用奠定了良好的数据基础和信息化环境。</w:t>
      </w:r>
    </w:p>
    <w:p>
      <w:pPr>
        <w:ind w:left="1043" w:right="1016" w:firstLine="352"/>
        <w:spacing w:before="108" w:line="327" w:lineRule="auto"/>
        <w:rPr>
          <w:rFonts w:ascii="SimSun" w:hAnsi="SimSun" w:eastAsia="SimSun" w:cs="SimSun"/>
          <w:sz w:val="17"/>
          <w:szCs w:val="17"/>
        </w:rPr>
      </w:pPr>
      <w:r>
        <w:rPr>
          <w:rFonts w:ascii="SimSun" w:hAnsi="SimSun" w:eastAsia="SimSun" w:cs="SimSun"/>
          <w:sz w:val="17"/>
          <w:szCs w:val="17"/>
          <w:color w:val="333333"/>
        </w:rPr>
        <w:t>（四）</w:t>
      </w:r>
      <w:r>
        <w:rPr>
          <w:rFonts w:ascii="SimSun" w:hAnsi="SimSun" w:eastAsia="SimSun" w:cs="SimSun"/>
          <w:sz w:val="17"/>
          <w:szCs w:val="17"/>
          <w:color w:val="333333"/>
          <w:spacing w:val="51"/>
          <w:w w:val="101"/>
        </w:rPr>
        <w:t> </w:t>
      </w:r>
      <w:r>
        <w:rPr>
          <w:rFonts w:ascii="SimSun" w:hAnsi="SimSun" w:eastAsia="SimSun" w:cs="SimSun"/>
          <w:sz w:val="17"/>
          <w:szCs w:val="17"/>
          <w:color w:val="333333"/>
        </w:rPr>
        <w:t>管理会计人才队伍培养和建设不断加强。建设有中国特色的管理会计体系，关键在于人才。管理会计人才培养是其他各</w:t>
      </w:r>
      <w:r>
        <w:rPr>
          <w:rFonts w:ascii="SimSun" w:hAnsi="SimSun" w:eastAsia="SimSun" w:cs="SimSun"/>
          <w:sz w:val="17"/>
          <w:szCs w:val="17"/>
          <w:color w:val="333333"/>
        </w:rPr>
        <w:t> </w:t>
      </w:r>
      <w:r>
        <w:rPr>
          <w:rFonts w:ascii="SimSun" w:hAnsi="SimSun" w:eastAsia="SimSun" w:cs="SimSun"/>
          <w:sz w:val="17"/>
          <w:szCs w:val="17"/>
          <w:color w:val="333333"/>
          <w:spacing w:val="2"/>
        </w:rPr>
        <w:t>项建设的依托，管理会计在实践中的运用、管理会计研究、案例库建设等管理会计各项工作都需要由管理会计人才予以实施。</w:t>
      </w:r>
      <w:r>
        <w:rPr>
          <w:rFonts w:ascii="SimSun" w:hAnsi="SimSun" w:eastAsia="SimSun" w:cs="SimSun"/>
          <w:sz w:val="17"/>
          <w:szCs w:val="17"/>
          <w:color w:val="333333"/>
          <w:spacing w:val="-50"/>
        </w:rPr>
        <w:t> </w:t>
      </w:r>
      <w:r>
        <w:rPr>
          <w:rFonts w:ascii="SimSun" w:hAnsi="SimSun" w:eastAsia="SimSun" w:cs="SimSun"/>
          <w:sz w:val="17"/>
          <w:szCs w:val="17"/>
          <w:color w:val="333333"/>
          <w:spacing w:val="2"/>
        </w:rPr>
        <w:t>“十</w:t>
      </w:r>
      <w:r>
        <w:rPr>
          <w:rFonts w:ascii="SimSun" w:hAnsi="SimSun" w:eastAsia="SimSun" w:cs="SimSun"/>
          <w:sz w:val="17"/>
          <w:szCs w:val="17"/>
          <w:color w:val="333333"/>
        </w:rPr>
        <w:t> </w:t>
      </w:r>
      <w:r>
        <w:rPr>
          <w:rFonts w:ascii="SimSun" w:hAnsi="SimSun" w:eastAsia="SimSun" w:cs="SimSun"/>
          <w:sz w:val="17"/>
          <w:szCs w:val="17"/>
          <w:color w:val="333333"/>
          <w:spacing w:val="2"/>
        </w:rPr>
        <w:t>三五”时期，财政部在会计人才培养框架下，实施一系列管理会计人才培养项目，加强对企业总会计师、行政事业单位财务负责人</w:t>
      </w:r>
      <w:r>
        <w:rPr>
          <w:rFonts w:ascii="SimSun" w:hAnsi="SimSun" w:eastAsia="SimSun" w:cs="SimSun"/>
          <w:sz w:val="17"/>
          <w:szCs w:val="17"/>
          <w:color w:val="333333"/>
          <w:spacing w:val="35"/>
        </w:rPr>
        <w:t> </w:t>
      </w:r>
      <w:r>
        <w:rPr>
          <w:rFonts w:ascii="SimSun" w:hAnsi="SimSun" w:eastAsia="SimSun" w:cs="SimSun"/>
          <w:sz w:val="17"/>
          <w:szCs w:val="17"/>
          <w:color w:val="333333"/>
          <w:spacing w:val="-2"/>
        </w:rPr>
        <w:t>的培养，发挥高端会计人才的引领辐射作用。截至</w:t>
      </w:r>
      <w:r>
        <w:rPr>
          <w:rFonts w:ascii="SimSun" w:hAnsi="SimSun" w:eastAsia="SimSun" w:cs="SimSun"/>
          <w:sz w:val="17"/>
          <w:szCs w:val="17"/>
          <w:color w:val="333333"/>
          <w:spacing w:val="65"/>
        </w:rPr>
        <w:t> </w:t>
      </w:r>
      <w:r>
        <w:rPr>
          <w:rFonts w:ascii="SimSun" w:hAnsi="SimSun" w:eastAsia="SimSun" w:cs="SimSun"/>
          <w:sz w:val="17"/>
          <w:szCs w:val="17"/>
          <w:color w:val="333333"/>
          <w:spacing w:val="-2"/>
        </w:rPr>
        <w:t>2020</w:t>
      </w:r>
      <w:r>
        <w:rPr>
          <w:rFonts w:ascii="SimSun" w:hAnsi="SimSun" w:eastAsia="SimSun" w:cs="SimSun"/>
          <w:sz w:val="17"/>
          <w:szCs w:val="17"/>
          <w:color w:val="333333"/>
          <w:spacing w:val="9"/>
        </w:rPr>
        <w:t> </w:t>
      </w:r>
      <w:r>
        <w:rPr>
          <w:rFonts w:ascii="SimSun" w:hAnsi="SimSun" w:eastAsia="SimSun" w:cs="SimSun"/>
          <w:sz w:val="17"/>
          <w:szCs w:val="17"/>
          <w:color w:val="333333"/>
          <w:spacing w:val="-2"/>
        </w:rPr>
        <w:t>年底，共有</w:t>
      </w:r>
      <w:r>
        <w:rPr>
          <w:rFonts w:ascii="SimSun" w:hAnsi="SimSun" w:eastAsia="SimSun" w:cs="SimSun"/>
          <w:sz w:val="17"/>
          <w:szCs w:val="17"/>
          <w:color w:val="333333"/>
          <w:spacing w:val="22"/>
        </w:rPr>
        <w:t> </w:t>
      </w:r>
      <w:r>
        <w:rPr>
          <w:rFonts w:ascii="SimSun" w:hAnsi="SimSun" w:eastAsia="SimSun" w:cs="SimSun"/>
          <w:sz w:val="17"/>
          <w:szCs w:val="17"/>
          <w:color w:val="333333"/>
          <w:spacing w:val="-2"/>
        </w:rPr>
        <w:t>1802</w:t>
      </w:r>
      <w:r>
        <w:rPr>
          <w:rFonts w:ascii="SimSun" w:hAnsi="SimSun" w:eastAsia="SimSun" w:cs="SimSun"/>
          <w:sz w:val="17"/>
          <w:szCs w:val="17"/>
          <w:color w:val="333333"/>
          <w:spacing w:val="9"/>
          <w:w w:val="101"/>
        </w:rPr>
        <w:t> </w:t>
      </w:r>
      <w:r>
        <w:rPr>
          <w:rFonts w:ascii="SimSun" w:hAnsi="SimSun" w:eastAsia="SimSun" w:cs="SimSun"/>
          <w:sz w:val="17"/>
          <w:szCs w:val="17"/>
          <w:color w:val="333333"/>
          <w:spacing w:val="-2"/>
        </w:rPr>
        <w:t>人入选全国高端会计人才培养工程，毕业</w:t>
      </w:r>
      <w:r>
        <w:rPr>
          <w:rFonts w:ascii="SimSun" w:hAnsi="SimSun" w:eastAsia="SimSun" w:cs="SimSun"/>
          <w:sz w:val="17"/>
          <w:szCs w:val="17"/>
          <w:color w:val="333333"/>
          <w:spacing w:val="21"/>
          <w:w w:val="101"/>
        </w:rPr>
        <w:t> </w:t>
      </w:r>
      <w:r>
        <w:rPr>
          <w:rFonts w:ascii="SimSun" w:hAnsi="SimSun" w:eastAsia="SimSun" w:cs="SimSun"/>
          <w:sz w:val="17"/>
          <w:szCs w:val="17"/>
          <w:color w:val="333333"/>
          <w:spacing w:val="-2"/>
        </w:rPr>
        <w:t>1071</w:t>
      </w:r>
      <w:r>
        <w:rPr>
          <w:rFonts w:ascii="SimSun" w:hAnsi="SimSun" w:eastAsia="SimSun" w:cs="SimSun"/>
          <w:sz w:val="17"/>
          <w:szCs w:val="17"/>
          <w:color w:val="333333"/>
          <w:spacing w:val="9"/>
        </w:rPr>
        <w:t> </w:t>
      </w:r>
      <w:r>
        <w:rPr>
          <w:rFonts w:ascii="SimSun" w:hAnsi="SimSun" w:eastAsia="SimSun" w:cs="SimSun"/>
          <w:sz w:val="17"/>
          <w:szCs w:val="17"/>
          <w:color w:val="333333"/>
          <w:spacing w:val="-2"/>
        </w:rPr>
        <w:t>人；</w:t>
      </w:r>
      <w:r>
        <w:rPr>
          <w:rFonts w:ascii="SimSun" w:hAnsi="SimSun" w:eastAsia="SimSun" w:cs="SimSun"/>
          <w:sz w:val="17"/>
          <w:szCs w:val="17"/>
          <w:color w:val="333333"/>
          <w:spacing w:val="47"/>
        </w:rPr>
        <w:t> </w:t>
      </w:r>
      <w:r>
        <w:rPr>
          <w:rFonts w:ascii="SimSun" w:hAnsi="SimSun" w:eastAsia="SimSun" w:cs="SimSun"/>
          <w:sz w:val="17"/>
          <w:szCs w:val="17"/>
          <w:color w:val="333333"/>
          <w:spacing w:val="-2"/>
        </w:rPr>
        <w:t>实</w:t>
      </w:r>
      <w:r>
        <w:rPr>
          <w:rFonts w:ascii="SimSun" w:hAnsi="SimSun" w:eastAsia="SimSun" w:cs="SimSun"/>
          <w:sz w:val="17"/>
          <w:szCs w:val="17"/>
          <w:color w:val="333333"/>
        </w:rPr>
        <w:t> </w:t>
      </w:r>
      <w:r>
        <w:rPr>
          <w:rFonts w:ascii="SimSun" w:hAnsi="SimSun" w:eastAsia="SimSun" w:cs="SimSun"/>
          <w:sz w:val="17"/>
          <w:szCs w:val="17"/>
          <w:color w:val="333333"/>
          <w:spacing w:val="3"/>
        </w:rPr>
        <w:t>施大中型企事业单位总会计师素质提升工程，培训</w:t>
      </w:r>
      <w:r>
        <w:rPr>
          <w:rFonts w:ascii="SimSun" w:hAnsi="SimSun" w:eastAsia="SimSun" w:cs="SimSun"/>
          <w:sz w:val="17"/>
          <w:szCs w:val="17"/>
          <w:color w:val="333333"/>
          <w:spacing w:val="46"/>
        </w:rPr>
        <w:t> </w:t>
      </w:r>
      <w:r>
        <w:rPr>
          <w:rFonts w:ascii="SimSun" w:hAnsi="SimSun" w:eastAsia="SimSun" w:cs="SimSun"/>
          <w:sz w:val="17"/>
          <w:szCs w:val="17"/>
          <w:color w:val="333333"/>
          <w:spacing w:val="3"/>
        </w:rPr>
        <w:t>6.7</w:t>
      </w:r>
      <w:r>
        <w:rPr>
          <w:rFonts w:ascii="SimSun" w:hAnsi="SimSun" w:eastAsia="SimSun" w:cs="SimSun"/>
          <w:sz w:val="17"/>
          <w:szCs w:val="17"/>
          <w:color w:val="333333"/>
          <w:spacing w:val="14"/>
        </w:rPr>
        <w:t> </w:t>
      </w:r>
      <w:r>
        <w:rPr>
          <w:rFonts w:ascii="SimSun" w:hAnsi="SimSun" w:eastAsia="SimSun" w:cs="SimSun"/>
          <w:sz w:val="17"/>
          <w:szCs w:val="17"/>
          <w:color w:val="333333"/>
          <w:spacing w:val="3"/>
        </w:rPr>
        <w:t>万人次。北京、上海、厦门三家国家会计学院管理会计面授50余万人次，</w:t>
      </w:r>
      <w:r>
        <w:rPr>
          <w:rFonts w:ascii="SimSun" w:hAnsi="SimSun" w:eastAsia="SimSun" w:cs="SimSun"/>
          <w:sz w:val="17"/>
          <w:szCs w:val="17"/>
          <w:color w:val="333333"/>
        </w:rPr>
        <w:t> </w:t>
      </w:r>
      <w:r>
        <w:rPr>
          <w:rFonts w:ascii="SimSun" w:hAnsi="SimSun" w:eastAsia="SimSun" w:cs="SimSun"/>
          <w:sz w:val="17"/>
          <w:szCs w:val="17"/>
          <w:color w:val="333333"/>
          <w:spacing w:val="1"/>
        </w:rPr>
        <w:t>在线培训人次60余万人次；总会计师协会管理会计培训20余万人次。</w:t>
      </w:r>
    </w:p>
    <w:p>
      <w:pPr>
        <w:ind w:firstLine="1391"/>
        <w:spacing w:before="107" w:line="187" w:lineRule="auto"/>
        <w:rPr>
          <w:rFonts w:ascii="SimSun" w:hAnsi="SimSun" w:eastAsia="SimSun" w:cs="SimSun"/>
          <w:sz w:val="17"/>
          <w:szCs w:val="17"/>
        </w:rPr>
      </w:pPr>
      <w:r>
        <w:rPr>
          <w:rFonts w:ascii="SimSun" w:hAnsi="SimSun" w:eastAsia="SimSun" w:cs="SimSun"/>
          <w:sz w:val="17"/>
          <w:szCs w:val="17"/>
          <w:color w:val="333333"/>
          <w:spacing w:val="10"/>
        </w:rPr>
        <w:t>二、</w:t>
      </w:r>
      <w:r>
        <w:rPr>
          <w:rFonts w:ascii="SimSun" w:hAnsi="SimSun" w:eastAsia="SimSun" w:cs="SimSun"/>
          <w:sz w:val="17"/>
          <w:szCs w:val="17"/>
          <w:color w:val="333333"/>
          <w:spacing w:val="-56"/>
        </w:rPr>
        <w:t> </w:t>
      </w:r>
      <w:r>
        <w:rPr>
          <w:rFonts w:ascii="SimSun" w:hAnsi="SimSun" w:eastAsia="SimSun" w:cs="SimSun"/>
          <w:sz w:val="17"/>
          <w:szCs w:val="17"/>
          <w:color w:val="333333"/>
          <w:spacing w:val="10"/>
        </w:rPr>
        <w:t>“十四五”时期面临的形势和挑战</w:t>
      </w:r>
    </w:p>
    <w:p>
      <w:pPr>
        <w:ind w:left="1043" w:right="1016" w:firstLine="348"/>
        <w:spacing w:before="239" w:line="327" w:lineRule="auto"/>
        <w:rPr>
          <w:rFonts w:ascii="SimSun" w:hAnsi="SimSun" w:eastAsia="SimSun" w:cs="SimSun"/>
          <w:sz w:val="17"/>
          <w:szCs w:val="17"/>
        </w:rPr>
      </w:pPr>
      <w:r>
        <w:rPr>
          <w:rFonts w:ascii="SimSun" w:hAnsi="SimSun" w:eastAsia="SimSun" w:cs="SimSun"/>
          <w:sz w:val="17"/>
          <w:szCs w:val="17"/>
          <w:color w:val="333333"/>
          <w:spacing w:val="2"/>
        </w:rPr>
        <w:t>一方面，新发展阶段为管理会计提供重要机遇。</w:t>
      </w:r>
      <w:r>
        <w:rPr>
          <w:rFonts w:ascii="SimSun" w:hAnsi="SimSun" w:eastAsia="SimSun" w:cs="SimSun"/>
          <w:sz w:val="17"/>
          <w:szCs w:val="17"/>
          <w:color w:val="333333"/>
          <w:spacing w:val="-55"/>
        </w:rPr>
        <w:t> </w:t>
      </w:r>
      <w:r>
        <w:rPr>
          <w:rFonts w:ascii="SimSun" w:hAnsi="SimSun" w:eastAsia="SimSun" w:cs="SimSun"/>
          <w:sz w:val="17"/>
          <w:szCs w:val="17"/>
          <w:color w:val="333333"/>
          <w:spacing w:val="2"/>
        </w:rPr>
        <w:t>“十四五”时期是我国由全面建成小康社会向基本实现社会主义现代化迈进的</w:t>
      </w:r>
      <w:r>
        <w:rPr>
          <w:rFonts w:ascii="SimSun" w:hAnsi="SimSun" w:eastAsia="SimSun" w:cs="SimSun"/>
          <w:sz w:val="17"/>
          <w:szCs w:val="17"/>
          <w:color w:val="333333"/>
        </w:rPr>
        <w:t> </w:t>
      </w:r>
      <w:r>
        <w:rPr>
          <w:rFonts w:ascii="SimSun" w:hAnsi="SimSun" w:eastAsia="SimSun" w:cs="SimSun"/>
          <w:sz w:val="17"/>
          <w:szCs w:val="17"/>
          <w:color w:val="333333"/>
        </w:rPr>
        <w:t>关键时期，</w:t>
      </w:r>
      <w:r>
        <w:rPr>
          <w:rFonts w:ascii="SimSun" w:hAnsi="SimSun" w:eastAsia="SimSun" w:cs="SimSun"/>
          <w:sz w:val="17"/>
          <w:szCs w:val="17"/>
          <w:color w:val="333333"/>
          <w:spacing w:val="-37"/>
        </w:rPr>
        <w:t> </w:t>
      </w:r>
      <w:r>
        <w:rPr>
          <w:rFonts w:ascii="SimSun" w:hAnsi="SimSun" w:eastAsia="SimSun" w:cs="SimSun"/>
          <w:sz w:val="17"/>
          <w:szCs w:val="17"/>
          <w:color w:val="333333"/>
        </w:rPr>
        <w:t>《中共中央关于制定国民经济和社会发展第十四个五年规划和二○三五年远景目标的建议》</w:t>
      </w:r>
      <w:r>
        <w:rPr>
          <w:rFonts w:ascii="SimSun" w:hAnsi="SimSun" w:eastAsia="SimSun" w:cs="SimSun"/>
          <w:sz w:val="17"/>
          <w:szCs w:val="17"/>
          <w:color w:val="333333"/>
          <w:spacing w:val="16"/>
        </w:rPr>
        <w:t> </w:t>
      </w:r>
      <w:r>
        <w:rPr>
          <w:rFonts w:ascii="SimSun" w:hAnsi="SimSun" w:eastAsia="SimSun" w:cs="SimSun"/>
          <w:sz w:val="17"/>
          <w:szCs w:val="17"/>
          <w:color w:val="333333"/>
        </w:rPr>
        <w:t>明确要求，把新发展理念贯</w:t>
      </w:r>
      <w:r>
        <w:rPr>
          <w:rFonts w:ascii="SimSun" w:hAnsi="SimSun" w:eastAsia="SimSun" w:cs="SimSun"/>
          <w:sz w:val="17"/>
          <w:szCs w:val="17"/>
          <w:color w:val="333333"/>
        </w:rPr>
        <w:t> </w:t>
      </w:r>
      <w:r>
        <w:rPr>
          <w:rFonts w:ascii="SimSun" w:hAnsi="SimSun" w:eastAsia="SimSun" w:cs="SimSun"/>
          <w:sz w:val="17"/>
          <w:szCs w:val="17"/>
          <w:color w:val="333333"/>
          <w:spacing w:val="2"/>
        </w:rPr>
        <w:t>穿发展全过程和各领域，构建新发展格局，切实转变发展方式，推动质量变革、效率变革、动力变革，实现更高质量、更有效率、</w:t>
      </w:r>
      <w:r>
        <w:rPr>
          <w:rFonts w:ascii="SimSun" w:hAnsi="SimSun" w:eastAsia="SimSun" w:cs="SimSun"/>
          <w:sz w:val="17"/>
          <w:szCs w:val="17"/>
          <w:color w:val="333333"/>
          <w:spacing w:val="35"/>
        </w:rPr>
        <w:t> </w:t>
      </w:r>
      <w:r>
        <w:rPr>
          <w:rFonts w:ascii="SimSun" w:hAnsi="SimSun" w:eastAsia="SimSun" w:cs="SimSun"/>
          <w:sz w:val="17"/>
          <w:szCs w:val="17"/>
          <w:color w:val="333333"/>
          <w:spacing w:val="2"/>
        </w:rPr>
        <w:t>更加公平、更可持续、更为安全的发展。加快构建以国内大循环为主体、国内国际双循环相互促进的新发展格局，推进国家治理体</w:t>
      </w:r>
      <w:r>
        <w:rPr>
          <w:rFonts w:ascii="SimSun" w:hAnsi="SimSun" w:eastAsia="SimSun" w:cs="SimSun"/>
          <w:sz w:val="17"/>
          <w:szCs w:val="17"/>
          <w:color w:val="333333"/>
          <w:spacing w:val="35"/>
        </w:rPr>
        <w:t> </w:t>
      </w:r>
      <w:r>
        <w:rPr>
          <w:rFonts w:ascii="SimSun" w:hAnsi="SimSun" w:eastAsia="SimSun" w:cs="SimSun"/>
          <w:sz w:val="17"/>
          <w:szCs w:val="17"/>
          <w:color w:val="333333"/>
          <w:spacing w:val="5"/>
        </w:rPr>
        <w:t>系和治理能力现代化。发展动力要从主要依靠资源和低成本劳动力等要素投入转向创新驱动，必须牢固树立和贯彻落实创新、协</w:t>
      </w:r>
      <w:r>
        <w:rPr>
          <w:rFonts w:ascii="SimSun" w:hAnsi="SimSun" w:eastAsia="SimSun" w:cs="SimSun"/>
          <w:sz w:val="17"/>
          <w:szCs w:val="17"/>
          <w:color w:val="333333"/>
          <w:spacing w:val="39"/>
        </w:rPr>
        <w:t> </w:t>
      </w:r>
      <w:r>
        <w:rPr>
          <w:rFonts w:ascii="SimSun" w:hAnsi="SimSun" w:eastAsia="SimSun" w:cs="SimSun"/>
          <w:sz w:val="17"/>
          <w:szCs w:val="17"/>
          <w:color w:val="333333"/>
          <w:spacing w:val="2"/>
        </w:rPr>
        <w:t>调、绿色、开放、共享的发展理念，坚持以供给侧结构性改革为主线，提高发展质量和效益。传统产业转型升级、现代产业体系协</w:t>
      </w:r>
      <w:r>
        <w:rPr>
          <w:rFonts w:ascii="SimSun" w:hAnsi="SimSun" w:eastAsia="SimSun" w:cs="SimSun"/>
          <w:sz w:val="17"/>
          <w:szCs w:val="17"/>
          <w:color w:val="333333"/>
          <w:spacing w:val="35"/>
        </w:rPr>
        <w:t> </w:t>
      </w:r>
      <w:r>
        <w:rPr>
          <w:rFonts w:ascii="SimSun" w:hAnsi="SimSun" w:eastAsia="SimSun" w:cs="SimSun"/>
          <w:sz w:val="17"/>
          <w:szCs w:val="17"/>
          <w:color w:val="333333"/>
          <w:spacing w:val="2"/>
        </w:rPr>
        <w:t>同发展，新形势、新任务、新要求都需要进一步提高对管理会计重要性的认识，贯彻新发展理念，推动高质量发展，更好开启现代</w:t>
      </w:r>
      <w:r>
        <w:rPr>
          <w:rFonts w:ascii="SimSun" w:hAnsi="SimSun" w:eastAsia="SimSun" w:cs="SimSun"/>
          <w:sz w:val="17"/>
          <w:szCs w:val="17"/>
          <w:color w:val="333333"/>
          <w:spacing w:val="35"/>
        </w:rPr>
        <w:t> </w:t>
      </w:r>
      <w:r>
        <w:rPr>
          <w:rFonts w:ascii="SimSun" w:hAnsi="SimSun" w:eastAsia="SimSun" w:cs="SimSun"/>
          <w:sz w:val="17"/>
          <w:szCs w:val="17"/>
          <w:color w:val="333333"/>
          <w:spacing w:val="2"/>
        </w:rPr>
        <w:t>化新征程，是管理会计应用在“十四五”时期取得突破的重要机遇。在这样的形势下，大力加强管理会计应用和实践，对于推进国</w:t>
      </w:r>
      <w:r>
        <w:rPr>
          <w:rFonts w:ascii="SimSun" w:hAnsi="SimSun" w:eastAsia="SimSun" w:cs="SimSun"/>
          <w:sz w:val="17"/>
          <w:szCs w:val="17"/>
          <w:color w:val="333333"/>
          <w:spacing w:val="35"/>
        </w:rPr>
        <w:t> </w:t>
      </w:r>
      <w:r>
        <w:rPr>
          <w:rFonts w:ascii="SimSun" w:hAnsi="SimSun" w:eastAsia="SimSun" w:cs="SimSun"/>
          <w:sz w:val="17"/>
          <w:szCs w:val="17"/>
          <w:color w:val="333333"/>
          <w:spacing w:val="2"/>
        </w:rPr>
        <w:t>家治理体系和治理能力现代化，建立完善现代企业制度、增强核心竞争力和价值创造力，为财政部门深化会计改革，推动会计职能</w:t>
      </w:r>
      <w:r>
        <w:rPr>
          <w:rFonts w:ascii="SimSun" w:hAnsi="SimSun" w:eastAsia="SimSun" w:cs="SimSun"/>
          <w:sz w:val="17"/>
          <w:szCs w:val="17"/>
          <w:color w:val="333333"/>
          <w:spacing w:val="35"/>
        </w:rPr>
        <w:t> </w:t>
      </w:r>
      <w:r>
        <w:rPr>
          <w:rFonts w:ascii="SimSun" w:hAnsi="SimSun" w:eastAsia="SimSun" w:cs="SimSun"/>
          <w:sz w:val="17"/>
          <w:szCs w:val="17"/>
          <w:color w:val="333333"/>
          <w:spacing w:val="2"/>
        </w:rPr>
        <w:t>对内对外双向拓展，推进会计行业提质增效都有着十分重要的意义。这就要求我们，要不断加强管理会计工作，激发管理活力，从</w:t>
      </w:r>
      <w:r>
        <w:rPr>
          <w:rFonts w:ascii="SimSun" w:hAnsi="SimSun" w:eastAsia="SimSun" w:cs="SimSun"/>
          <w:sz w:val="17"/>
          <w:szCs w:val="17"/>
          <w:color w:val="333333"/>
          <w:spacing w:val="35"/>
        </w:rPr>
        <w:t> </w:t>
      </w:r>
      <w:r>
        <w:rPr>
          <w:rFonts w:ascii="SimSun" w:hAnsi="SimSun" w:eastAsia="SimSun" w:cs="SimSun"/>
          <w:sz w:val="17"/>
          <w:szCs w:val="17"/>
          <w:color w:val="333333"/>
          <w:spacing w:val="1"/>
        </w:rPr>
        <w:t>管理会计应用层面进行创新，在宏观经济治理和微观财务管理中体现更多担当，在助力会计工作提质增效中发挥更大作用。</w:t>
      </w:r>
    </w:p>
    <w:p>
      <w:pPr>
        <w:ind w:left="1043" w:right="1016" w:firstLine="350"/>
        <w:spacing w:before="109" w:line="327" w:lineRule="auto"/>
        <w:rPr>
          <w:rFonts w:ascii="SimSun" w:hAnsi="SimSun" w:eastAsia="SimSun" w:cs="SimSun"/>
          <w:sz w:val="17"/>
          <w:szCs w:val="17"/>
        </w:rPr>
      </w:pPr>
      <w:r>
        <w:rPr>
          <w:rFonts w:ascii="SimSun" w:hAnsi="SimSun" w:eastAsia="SimSun" w:cs="SimSun"/>
          <w:sz w:val="17"/>
          <w:szCs w:val="17"/>
          <w:color w:val="333333"/>
          <w:spacing w:val="2"/>
        </w:rPr>
        <w:t>另一方面，数字化时代对会计工作产生深远影响。习近平总书记指出“数字技术正以新理念、新业态、新模式全面融入人类经</w:t>
      </w:r>
      <w:r>
        <w:rPr>
          <w:rFonts w:ascii="SimSun" w:hAnsi="SimSun" w:eastAsia="SimSun" w:cs="SimSun"/>
          <w:sz w:val="17"/>
          <w:szCs w:val="17"/>
          <w:color w:val="333333"/>
          <w:spacing w:val="29"/>
        </w:rPr>
        <w:t> </w:t>
      </w:r>
      <w:r>
        <w:rPr>
          <w:rFonts w:ascii="SimSun" w:hAnsi="SimSun" w:eastAsia="SimSun" w:cs="SimSun"/>
          <w:sz w:val="17"/>
          <w:szCs w:val="17"/>
          <w:color w:val="333333"/>
          <w:spacing w:val="2"/>
        </w:rPr>
        <w:t>济、政治、文化、社会、生态文明建设各领域和全过程，给人类生产生活带来广泛而深刻的影响。</w:t>
      </w:r>
      <w:r>
        <w:rPr>
          <w:rFonts w:ascii="SimSun" w:hAnsi="SimSun" w:eastAsia="SimSun" w:cs="SimSun"/>
          <w:sz w:val="17"/>
          <w:szCs w:val="17"/>
          <w:color w:val="333333"/>
          <w:spacing w:val="-50"/>
        </w:rPr>
        <w:t> </w:t>
      </w:r>
      <w:r>
        <w:rPr>
          <w:rFonts w:ascii="SimSun" w:hAnsi="SimSun" w:eastAsia="SimSun" w:cs="SimSun"/>
          <w:sz w:val="17"/>
          <w:szCs w:val="17"/>
          <w:color w:val="333333"/>
          <w:spacing w:val="2"/>
        </w:rPr>
        <w:t>”数字化逐渐成为支撑社会经济</w:t>
      </w:r>
      <w:r>
        <w:rPr>
          <w:rFonts w:ascii="SimSun" w:hAnsi="SimSun" w:eastAsia="SimSun" w:cs="SimSun"/>
          <w:sz w:val="17"/>
          <w:szCs w:val="17"/>
          <w:color w:val="333333"/>
        </w:rPr>
        <w:t> </w:t>
      </w:r>
      <w:r>
        <w:rPr>
          <w:rFonts w:ascii="SimSun" w:hAnsi="SimSun" w:eastAsia="SimSun" w:cs="SimSun"/>
          <w:sz w:val="17"/>
          <w:szCs w:val="17"/>
          <w:color w:val="333333"/>
          <w:spacing w:val="2"/>
        </w:rPr>
        <w:t>运转的重要方式。当今世界，新产业革命、技术革命方兴未艾，5G、人工智能、大数据、物联网、生物工程、新能源为代表的新技</w:t>
      </w:r>
      <w:r>
        <w:rPr>
          <w:rFonts w:ascii="SimSun" w:hAnsi="SimSun" w:eastAsia="SimSun" w:cs="SimSun"/>
          <w:sz w:val="17"/>
          <w:szCs w:val="17"/>
          <w:color w:val="333333"/>
          <w:spacing w:val="33"/>
        </w:rPr>
        <w:t> </w:t>
      </w:r>
      <w:r>
        <w:rPr>
          <w:rFonts w:ascii="SimSun" w:hAnsi="SimSun" w:eastAsia="SimSun" w:cs="SimSun"/>
          <w:sz w:val="17"/>
          <w:szCs w:val="17"/>
          <w:color w:val="333333"/>
          <w:spacing w:val="2"/>
        </w:rPr>
        <w:t>术、新产业迅速崛起，对传统的会计组织方式、会计职能手段等产生了重大而深远的影响，传统的财务会计职能已无法应对管理层</w:t>
      </w:r>
      <w:r>
        <w:rPr>
          <w:rFonts w:ascii="SimSun" w:hAnsi="SimSun" w:eastAsia="SimSun" w:cs="SimSun"/>
          <w:sz w:val="17"/>
          <w:szCs w:val="17"/>
          <w:color w:val="333333"/>
          <w:spacing w:val="35"/>
        </w:rPr>
        <w:t> </w:t>
      </w:r>
      <w:r>
        <w:rPr>
          <w:rFonts w:ascii="SimSun" w:hAnsi="SimSun" w:eastAsia="SimSun" w:cs="SimSun"/>
          <w:sz w:val="17"/>
          <w:szCs w:val="17"/>
          <w:color w:val="333333"/>
          <w:spacing w:val="2"/>
        </w:rPr>
        <w:t>对财务信息的多元化需求，已从单纯的记账报账核算扩展到利用有关信息来预测发展前景、制定战略规划、参与管理决策、评价经</w:t>
      </w:r>
      <w:r>
        <w:rPr>
          <w:rFonts w:ascii="SimSun" w:hAnsi="SimSun" w:eastAsia="SimSun" w:cs="SimSun"/>
          <w:sz w:val="17"/>
          <w:szCs w:val="17"/>
          <w:color w:val="333333"/>
          <w:spacing w:val="35"/>
        </w:rPr>
        <w:t> </w:t>
      </w:r>
      <w:r>
        <w:rPr>
          <w:rFonts w:ascii="SimSun" w:hAnsi="SimSun" w:eastAsia="SimSun" w:cs="SimSun"/>
          <w:sz w:val="17"/>
          <w:szCs w:val="17"/>
          <w:color w:val="333333"/>
          <w:spacing w:val="2"/>
        </w:rPr>
        <w:t>济活动等多方面。数字化时代越来越依据分析结果做决策，需要通过管理会计梳理、过滤、捕捉有价值的信息，并将其转化为生产</w:t>
      </w:r>
      <w:r>
        <w:rPr>
          <w:rFonts w:ascii="SimSun" w:hAnsi="SimSun" w:eastAsia="SimSun" w:cs="SimSun"/>
          <w:sz w:val="17"/>
          <w:szCs w:val="17"/>
          <w:color w:val="333333"/>
          <w:spacing w:val="35"/>
        </w:rPr>
        <w:t> </w:t>
      </w:r>
      <w:r>
        <w:rPr>
          <w:rFonts w:ascii="SimSun" w:hAnsi="SimSun" w:eastAsia="SimSun" w:cs="SimSun"/>
          <w:sz w:val="17"/>
          <w:szCs w:val="17"/>
          <w:color w:val="333333"/>
          <w:spacing w:val="2"/>
        </w:rPr>
        <w:t>力。市场竞争日趋激烈，企业对财务信息和非财务信息的整合性、及时性和准确性提出了更高的要求，管理会计逐步走到了业务前</w:t>
      </w:r>
      <w:r>
        <w:rPr>
          <w:rFonts w:ascii="SimSun" w:hAnsi="SimSun" w:eastAsia="SimSun" w:cs="SimSun"/>
          <w:sz w:val="17"/>
          <w:szCs w:val="17"/>
          <w:color w:val="333333"/>
          <w:spacing w:val="35"/>
        </w:rPr>
        <w:t> </w:t>
      </w:r>
      <w:r>
        <w:rPr>
          <w:rFonts w:ascii="SimSun" w:hAnsi="SimSun" w:eastAsia="SimSun" w:cs="SimSun"/>
          <w:sz w:val="17"/>
          <w:szCs w:val="17"/>
          <w:color w:val="333333"/>
          <w:spacing w:val="2"/>
        </w:rPr>
        <w:t>端，发挥其在战略制定、事前预测、事中管控中的重要角色。随着数字化时代的到来，新兴技术的不断涌现也为管理会计信息化建</w:t>
      </w:r>
      <w:r>
        <w:rPr>
          <w:rFonts w:ascii="SimSun" w:hAnsi="SimSun" w:eastAsia="SimSun" w:cs="SimSun"/>
          <w:sz w:val="17"/>
          <w:szCs w:val="17"/>
          <w:color w:val="333333"/>
          <w:spacing w:val="35"/>
        </w:rPr>
        <w:t> </w:t>
      </w:r>
      <w:r>
        <w:rPr>
          <w:rFonts w:ascii="SimSun" w:hAnsi="SimSun" w:eastAsia="SimSun" w:cs="SimSun"/>
          <w:sz w:val="17"/>
          <w:szCs w:val="17"/>
          <w:color w:val="333333"/>
          <w:spacing w:val="2"/>
        </w:rPr>
        <w:t>设提供了新的契机和前景，为管理会计的发展壮大创造了良好的基础环境，新技术与管理创新融合，为管理会计注入了新的活力，</w:t>
      </w:r>
      <w:r>
        <w:rPr>
          <w:rFonts w:ascii="SimSun" w:hAnsi="SimSun" w:eastAsia="SimSun" w:cs="SimSun"/>
          <w:sz w:val="17"/>
          <w:szCs w:val="17"/>
          <w:color w:val="333333"/>
          <w:spacing w:val="35"/>
        </w:rPr>
        <w:t> </w:t>
      </w:r>
      <w:r>
        <w:rPr>
          <w:rFonts w:ascii="SimSun" w:hAnsi="SimSun" w:eastAsia="SimSun" w:cs="SimSun"/>
          <w:sz w:val="17"/>
          <w:szCs w:val="17"/>
          <w:color w:val="333333"/>
          <w:spacing w:val="-2"/>
        </w:rPr>
        <w:t>充实了新的内涵。</w:t>
      </w:r>
    </w:p>
    <w:p>
      <w:pPr>
        <w:spacing w:line="281" w:lineRule="auto"/>
        <w:rPr>
          <w:rFonts w:ascii="SimSun"/>
          <w:sz w:val="21"/>
        </w:rPr>
      </w:pPr>
      <w:r/>
    </w:p>
    <w:p>
      <w:pPr>
        <w:spacing w:line="282" w:lineRule="auto"/>
        <w:rPr>
          <w:rFonts w:ascii="SimSun"/>
          <w:sz w:val="21"/>
        </w:rPr>
      </w:pPr>
      <w:r/>
    </w:p>
    <w:p>
      <w:pPr>
        <w:ind w:firstLine="539"/>
        <w:spacing w:before="47" w:line="218" w:lineRule="exact"/>
        <w:rPr>
          <w:rFonts w:ascii="Arial" w:hAnsi="Arial" w:eastAsia="Arial" w:cs="Arial"/>
          <w:sz w:val="16"/>
          <w:szCs w:val="16"/>
        </w:rPr>
      </w:pPr>
      <w:r>
        <w:rPr>
          <w:rFonts w:ascii="Arial" w:hAnsi="Arial" w:eastAsia="Arial" w:cs="Arial"/>
          <w:sz w:val="16"/>
          <w:szCs w:val="16"/>
          <w:spacing w:val="-1"/>
        </w:rPr>
        <w:t>kjs.mof.gov.cn/zhengcejiedu/202203/t20220325_3798431.htm</w:t>
      </w:r>
      <w:r>
        <w:rPr>
          <w:rFonts w:ascii="Arial" w:hAnsi="Arial" w:eastAsia="Arial" w:cs="Arial"/>
          <w:sz w:val="16"/>
          <w:szCs w:val="16"/>
        </w:rPr>
        <w:t>                                                                                                                                            </w:t>
      </w:r>
      <w:r>
        <w:rPr>
          <w:rFonts w:ascii="Arial" w:hAnsi="Arial" w:eastAsia="Arial" w:cs="Arial"/>
          <w:sz w:val="16"/>
          <w:szCs w:val="16"/>
          <w:spacing w:val="-1"/>
        </w:rPr>
        <w:t>2/4</w:t>
      </w:r>
    </w:p>
    <w:p>
      <w:pPr>
        <w:sectPr>
          <w:pgSz w:w="11900" w:h="16839"/>
          <w:pgMar w:top="0" w:right="0" w:bottom="0" w:left="0" w:header="0" w:footer="0" w:gutter="0"/>
        </w:sectPr>
        <w:rPr/>
      </w:pPr>
    </w:p>
    <w:p>
      <w:pPr>
        <w:ind w:firstLine="533"/>
        <w:spacing w:before="293" w:line="191" w:lineRule="auto"/>
        <w:rPr>
          <w:rFonts w:ascii="Microsoft YaHei" w:hAnsi="Microsoft YaHei" w:eastAsia="Microsoft YaHei" w:cs="Microsoft YaHei"/>
          <w:sz w:val="16"/>
          <w:szCs w:val="16"/>
        </w:rPr>
      </w:pPr>
      <w:r>
        <w:rPr>
          <w:rFonts w:ascii="Arial" w:hAnsi="Arial" w:eastAsia="Arial" w:cs="Arial"/>
          <w:sz w:val="16"/>
          <w:szCs w:val="16"/>
          <w:spacing w:val="-2"/>
          <w:position w:val="1"/>
        </w:rPr>
        <w:t>2022/4/27</w:t>
      </w:r>
      <w:r>
        <w:rPr>
          <w:rFonts w:ascii="Arial" w:hAnsi="Arial" w:eastAsia="Arial" w:cs="Arial"/>
          <w:sz w:val="16"/>
          <w:szCs w:val="16"/>
          <w:spacing w:val="1"/>
          <w:position w:val="1"/>
        </w:rPr>
        <w:t>                                      </w:t>
      </w:r>
      <w:r>
        <w:rPr>
          <w:rFonts w:ascii="Microsoft YaHei" w:hAnsi="Microsoft YaHei" w:eastAsia="Microsoft YaHei" w:cs="Microsoft YaHei"/>
          <w:sz w:val="16"/>
          <w:szCs w:val="16"/>
          <w:spacing w:val="-2"/>
        </w:rPr>
        <w:t>全面深化管理会计应用</w:t>
      </w:r>
      <w:r>
        <w:rPr>
          <w:rFonts w:ascii="Microsoft YaHei" w:hAnsi="Microsoft YaHei" w:eastAsia="Microsoft YaHei" w:cs="Microsoft YaHei"/>
          <w:sz w:val="16"/>
          <w:szCs w:val="16"/>
          <w:spacing w:val="10"/>
          <w:w w:val="101"/>
        </w:rPr>
        <w:t>   </w:t>
      </w:r>
      <w:r>
        <w:rPr>
          <w:rFonts w:ascii="Microsoft YaHei" w:hAnsi="Microsoft YaHei" w:eastAsia="Microsoft YaHei" w:cs="Microsoft YaHei"/>
          <w:sz w:val="16"/>
          <w:szCs w:val="16"/>
          <w:spacing w:val="-2"/>
        </w:rPr>
        <w:t>积极推动会计职能拓展</w:t>
      </w:r>
      <w:r>
        <w:rPr>
          <w:rFonts w:ascii="Arial" w:hAnsi="Arial" w:eastAsia="Arial" w:cs="Arial"/>
          <w:sz w:val="16"/>
          <w:szCs w:val="16"/>
          <w:spacing w:val="-2"/>
        </w:rPr>
        <w:t>——</w:t>
      </w:r>
      <w:r>
        <w:rPr>
          <w:rFonts w:ascii="Arial" w:hAnsi="Arial" w:eastAsia="Arial" w:cs="Arial"/>
          <w:sz w:val="16"/>
          <w:szCs w:val="16"/>
          <w:spacing w:val="34"/>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规划纲要》系列解读之九</w:t>
      </w:r>
    </w:p>
    <w:p>
      <w:pPr>
        <w:ind w:left="1043" w:right="1016" w:firstLine="346"/>
        <w:spacing w:before="136" w:line="327" w:lineRule="auto"/>
        <w:rPr>
          <w:rFonts w:ascii="SimSun" w:hAnsi="SimSun" w:eastAsia="SimSun" w:cs="SimSun"/>
          <w:sz w:val="17"/>
          <w:szCs w:val="17"/>
        </w:rPr>
      </w:pPr>
      <w:r>
        <w:rPr>
          <w:rFonts w:ascii="SimSun" w:hAnsi="SimSun" w:eastAsia="SimSun" w:cs="SimSun"/>
          <w:sz w:val="17"/>
          <w:szCs w:val="17"/>
          <w:color w:val="333333"/>
          <w:spacing w:val="1"/>
        </w:rPr>
        <w:t>相较于国内外经济形势的变化、数字经济的发展和推动贯彻落实新发展理念的要求，整体而言，</w:t>
      </w:r>
      <w:r>
        <w:rPr>
          <w:rFonts w:ascii="SimSun" w:hAnsi="SimSun" w:eastAsia="SimSun" w:cs="SimSun"/>
          <w:sz w:val="17"/>
          <w:szCs w:val="17"/>
          <w:color w:val="333333"/>
          <w:spacing w:val="3"/>
        </w:rPr>
        <w:t> </w:t>
      </w:r>
      <w:r>
        <w:rPr>
          <w:rFonts w:ascii="SimSun" w:hAnsi="SimSun" w:eastAsia="SimSun" w:cs="SimSun"/>
          <w:sz w:val="17"/>
          <w:szCs w:val="17"/>
          <w:color w:val="333333"/>
          <w:spacing w:val="1"/>
        </w:rPr>
        <w:t>目前管理会计在企事业单位的</w:t>
      </w:r>
      <w:r>
        <w:rPr>
          <w:rFonts w:ascii="SimSun" w:hAnsi="SimSun" w:eastAsia="SimSun" w:cs="SimSun"/>
          <w:sz w:val="17"/>
          <w:szCs w:val="17"/>
          <w:color w:val="333333"/>
        </w:rPr>
        <w:t> </w:t>
      </w:r>
      <w:r>
        <w:rPr>
          <w:rFonts w:ascii="SimSun" w:hAnsi="SimSun" w:eastAsia="SimSun" w:cs="SimSun"/>
          <w:sz w:val="17"/>
          <w:szCs w:val="17"/>
          <w:color w:val="333333"/>
          <w:spacing w:val="2"/>
        </w:rPr>
        <w:t>应用还存在着思想认识不到位、发展不平衡、应用落地难、人才支撑不匹配、工具方法的理论与实践应用仍存在脱节等诸多问题。</w:t>
      </w:r>
      <w:r>
        <w:rPr>
          <w:rFonts w:ascii="SimSun" w:hAnsi="SimSun" w:eastAsia="SimSun" w:cs="SimSun"/>
          <w:sz w:val="17"/>
          <w:szCs w:val="17"/>
          <w:color w:val="333333"/>
          <w:spacing w:val="35"/>
        </w:rPr>
        <w:t> </w:t>
      </w:r>
      <w:r>
        <w:rPr>
          <w:rFonts w:ascii="SimSun" w:hAnsi="SimSun" w:eastAsia="SimSun" w:cs="SimSun"/>
          <w:sz w:val="17"/>
          <w:szCs w:val="17"/>
          <w:color w:val="333333"/>
          <w:spacing w:val="5"/>
        </w:rPr>
        <w:t>从某种意义上说，化解挑战就是机遇。管理会计的生命力在于应用，本质是通过收集、处理财务和业务信息，分析过去、管控现</w:t>
      </w:r>
      <w:r>
        <w:rPr>
          <w:rFonts w:ascii="SimSun" w:hAnsi="SimSun" w:eastAsia="SimSun" w:cs="SimSun"/>
          <w:sz w:val="17"/>
          <w:szCs w:val="17"/>
          <w:color w:val="333333"/>
          <w:spacing w:val="39"/>
        </w:rPr>
        <w:t> </w:t>
      </w:r>
      <w:r>
        <w:rPr>
          <w:rFonts w:ascii="SimSun" w:hAnsi="SimSun" w:eastAsia="SimSun" w:cs="SimSun"/>
          <w:sz w:val="17"/>
          <w:szCs w:val="17"/>
          <w:color w:val="333333"/>
          <w:spacing w:val="5"/>
        </w:rPr>
        <w:t>在、预测未来，服务单位的价值创造和效能提升。</w:t>
      </w:r>
      <w:r>
        <w:rPr>
          <w:rFonts w:ascii="SimSun" w:hAnsi="SimSun" w:eastAsia="SimSun" w:cs="SimSun"/>
          <w:sz w:val="17"/>
          <w:szCs w:val="17"/>
          <w:color w:val="333333"/>
          <w:spacing w:val="-46"/>
        </w:rPr>
        <w:t> </w:t>
      </w:r>
      <w:r>
        <w:rPr>
          <w:rFonts w:ascii="SimSun" w:hAnsi="SimSun" w:eastAsia="SimSun" w:cs="SimSun"/>
          <w:sz w:val="17"/>
          <w:szCs w:val="17"/>
          <w:color w:val="333333"/>
          <w:spacing w:val="5"/>
        </w:rPr>
        <w:t>“十四五”时期，要以全面深化管理会计应用为着力点，积极推动会计职能拓</w:t>
      </w:r>
      <w:r>
        <w:rPr>
          <w:rFonts w:ascii="SimSun" w:hAnsi="SimSun" w:eastAsia="SimSun" w:cs="SimSun"/>
          <w:sz w:val="17"/>
          <w:szCs w:val="17"/>
          <w:color w:val="333333"/>
        </w:rPr>
        <w:t> </w:t>
      </w:r>
      <w:r>
        <w:rPr>
          <w:rFonts w:ascii="SimSun" w:hAnsi="SimSun" w:eastAsia="SimSun" w:cs="SimSun"/>
          <w:sz w:val="17"/>
          <w:szCs w:val="17"/>
          <w:color w:val="333333"/>
          <w:spacing w:val="-7"/>
        </w:rPr>
        <w:t>展。</w:t>
      </w:r>
    </w:p>
    <w:p>
      <w:pPr>
        <w:ind w:firstLine="1409"/>
        <w:spacing w:before="107" w:line="187" w:lineRule="auto"/>
        <w:rPr>
          <w:rFonts w:ascii="SimSun" w:hAnsi="SimSun" w:eastAsia="SimSun" w:cs="SimSun"/>
          <w:sz w:val="17"/>
          <w:szCs w:val="17"/>
        </w:rPr>
      </w:pPr>
      <w:r>
        <w:rPr>
          <w:rFonts w:ascii="SimSun" w:hAnsi="SimSun" w:eastAsia="SimSun" w:cs="SimSun"/>
          <w:sz w:val="17"/>
          <w:szCs w:val="17"/>
          <w:color w:val="333333"/>
          <w:spacing w:val="11"/>
        </w:rPr>
        <w:t>三、</w:t>
      </w:r>
      <w:r>
        <w:rPr>
          <w:rFonts w:ascii="SimSun" w:hAnsi="SimSun" w:eastAsia="SimSun" w:cs="SimSun"/>
          <w:sz w:val="17"/>
          <w:szCs w:val="17"/>
          <w:color w:val="333333"/>
          <w:spacing w:val="-57"/>
        </w:rPr>
        <w:t> </w:t>
      </w:r>
      <w:r>
        <w:rPr>
          <w:rFonts w:ascii="SimSun" w:hAnsi="SimSun" w:eastAsia="SimSun" w:cs="SimSun"/>
          <w:sz w:val="17"/>
          <w:szCs w:val="17"/>
          <w:color w:val="333333"/>
          <w:spacing w:val="11"/>
        </w:rPr>
        <w:t>“十四五”时期全面深化管理会计应用的主要举措</w:t>
      </w:r>
    </w:p>
    <w:p>
      <w:pPr>
        <w:ind w:left="1044" w:right="1016" w:firstLine="346"/>
        <w:spacing w:before="237" w:line="327" w:lineRule="auto"/>
        <w:rPr>
          <w:rFonts w:ascii="SimSun" w:hAnsi="SimSun" w:eastAsia="SimSun" w:cs="SimSun"/>
          <w:sz w:val="17"/>
          <w:szCs w:val="17"/>
        </w:rPr>
      </w:pPr>
      <w:r>
        <w:rPr>
          <w:rFonts w:ascii="SimSun" w:hAnsi="SimSun" w:eastAsia="SimSun" w:cs="SimSun"/>
          <w:sz w:val="17"/>
          <w:szCs w:val="17"/>
          <w:color w:val="333333"/>
        </w:rPr>
        <w:t>《会计改革与发展“十四五”规划纲要》</w:t>
      </w:r>
      <w:r>
        <w:rPr>
          <w:rFonts w:ascii="SimSun" w:hAnsi="SimSun" w:eastAsia="SimSun" w:cs="SimSun"/>
          <w:sz w:val="17"/>
          <w:szCs w:val="17"/>
          <w:color w:val="333333"/>
          <w:spacing w:val="56"/>
        </w:rPr>
        <w:t> </w:t>
      </w:r>
      <w:r>
        <w:rPr>
          <w:rFonts w:ascii="SimSun" w:hAnsi="SimSun" w:eastAsia="SimSun" w:cs="SimSun"/>
          <w:sz w:val="17"/>
          <w:szCs w:val="17"/>
          <w:color w:val="333333"/>
        </w:rPr>
        <w:t>指出，推动会计职能对内拓展要加强对企业管理会计应用的政策指导、经验总结和应</w:t>
      </w:r>
      <w:r>
        <w:rPr>
          <w:rFonts w:ascii="SimSun" w:hAnsi="SimSun" w:eastAsia="SimSun" w:cs="SimSun"/>
          <w:sz w:val="17"/>
          <w:szCs w:val="17"/>
          <w:color w:val="333333"/>
        </w:rPr>
        <w:t> </w:t>
      </w:r>
      <w:r>
        <w:rPr>
          <w:rFonts w:ascii="SimSun" w:hAnsi="SimSun" w:eastAsia="SimSun" w:cs="SimSun"/>
          <w:sz w:val="17"/>
          <w:szCs w:val="17"/>
          <w:color w:val="333333"/>
          <w:spacing w:val="2"/>
        </w:rPr>
        <w:t>用推广，推进管理会计在加速完善中国特色现代企业制度、促进企业有效实施经营战略、提高管理水平和经济效益等方面发挥积极</w:t>
      </w:r>
      <w:r>
        <w:rPr>
          <w:rFonts w:ascii="SimSun" w:hAnsi="SimSun" w:eastAsia="SimSun" w:cs="SimSun"/>
          <w:sz w:val="17"/>
          <w:szCs w:val="17"/>
          <w:color w:val="333333"/>
          <w:spacing w:val="33"/>
          <w:w w:val="101"/>
        </w:rPr>
        <w:t> </w:t>
      </w:r>
      <w:r>
        <w:rPr>
          <w:rFonts w:ascii="SimSun" w:hAnsi="SimSun" w:eastAsia="SimSun" w:cs="SimSun"/>
          <w:sz w:val="17"/>
          <w:szCs w:val="17"/>
          <w:color w:val="333333"/>
          <w:spacing w:val="1"/>
        </w:rPr>
        <w:t>作用。加强管理会计在行政事业单位的政策指导、经验总结和应用推广，为行政事业单位提升内部治理水平作出有益探索。</w:t>
      </w:r>
    </w:p>
    <w:p>
      <w:pPr>
        <w:ind w:left="1043" w:right="1016" w:firstLine="361"/>
        <w:spacing w:before="108" w:line="327" w:lineRule="auto"/>
        <w:rPr>
          <w:rFonts w:ascii="SimSun" w:hAnsi="SimSun" w:eastAsia="SimSun" w:cs="SimSun"/>
          <w:sz w:val="17"/>
          <w:szCs w:val="17"/>
        </w:rPr>
      </w:pPr>
      <w:r>
        <w:rPr>
          <w:rFonts w:ascii="SimSun" w:hAnsi="SimSun" w:eastAsia="SimSun" w:cs="SimSun"/>
          <w:sz w:val="17"/>
          <w:szCs w:val="17"/>
          <w:color w:val="333333"/>
          <w:spacing w:val="5"/>
        </w:rPr>
        <w:t>（一）研究出台进一步深化管理会计应用的指导意见。管理会计在企业中围绕提升绩效，在行政事业单位中围绕提升综合效</w:t>
      </w:r>
      <w:r>
        <w:rPr>
          <w:rFonts w:ascii="SimSun" w:hAnsi="SimSun" w:eastAsia="SimSun" w:cs="SimSun"/>
          <w:sz w:val="17"/>
          <w:szCs w:val="17"/>
          <w:color w:val="333333"/>
          <w:spacing w:val="27"/>
        </w:rPr>
        <w:t> </w:t>
      </w:r>
      <w:r>
        <w:rPr>
          <w:rFonts w:ascii="SimSun" w:hAnsi="SimSun" w:eastAsia="SimSun" w:cs="SimSun"/>
          <w:sz w:val="17"/>
          <w:szCs w:val="17"/>
          <w:color w:val="333333"/>
          <w:spacing w:val="5"/>
        </w:rPr>
        <w:t>能，提供各种决策支持，与会计工作、会计人员、会计管理的转型升级紧密相关，是“十四五”时期会计职能对内拓展的重要领</w:t>
      </w:r>
      <w:r>
        <w:rPr>
          <w:rFonts w:ascii="SimSun" w:hAnsi="SimSun" w:eastAsia="SimSun" w:cs="SimSun"/>
          <w:sz w:val="17"/>
          <w:szCs w:val="17"/>
          <w:color w:val="333333"/>
          <w:spacing w:val="39"/>
        </w:rPr>
        <w:t> </w:t>
      </w:r>
      <w:r>
        <w:rPr>
          <w:rFonts w:ascii="SimSun" w:hAnsi="SimSun" w:eastAsia="SimSun" w:cs="SimSun"/>
          <w:sz w:val="17"/>
          <w:szCs w:val="17"/>
          <w:color w:val="333333"/>
          <w:spacing w:val="1"/>
        </w:rPr>
        <w:t>域。财政部将出台进一步深化管理会计应用的指导意见，作为继《财政部关于全面推进管理会计体系建设的指导意见》</w:t>
      </w:r>
      <w:r>
        <w:rPr>
          <w:rFonts w:ascii="SimSun" w:hAnsi="SimSun" w:eastAsia="SimSun" w:cs="SimSun"/>
          <w:sz w:val="17"/>
          <w:szCs w:val="17"/>
          <w:color w:val="333333"/>
          <w:spacing w:val="7"/>
        </w:rPr>
        <w:t> </w:t>
      </w:r>
      <w:r>
        <w:rPr>
          <w:rFonts w:ascii="SimSun" w:hAnsi="SimSun" w:eastAsia="SimSun" w:cs="SimSun"/>
          <w:sz w:val="17"/>
          <w:szCs w:val="17"/>
          <w:color w:val="333333"/>
          <w:spacing w:val="1"/>
        </w:rPr>
        <w:t>之后的又一</w:t>
      </w:r>
      <w:r>
        <w:rPr>
          <w:rFonts w:ascii="SimSun" w:hAnsi="SimSun" w:eastAsia="SimSun" w:cs="SimSun"/>
          <w:sz w:val="17"/>
          <w:szCs w:val="17"/>
          <w:color w:val="333333"/>
        </w:rPr>
        <w:t> </w:t>
      </w:r>
      <w:r>
        <w:rPr>
          <w:rFonts w:ascii="SimSun" w:hAnsi="SimSun" w:eastAsia="SimSun" w:cs="SimSun"/>
          <w:sz w:val="17"/>
          <w:szCs w:val="17"/>
          <w:color w:val="333333"/>
          <w:spacing w:val="2"/>
        </w:rPr>
        <w:t>基础性政策安排，主要目标是聚焦管理会计应用，深入推进管理会计理论创新，推广管理会计应用方法，加强管理会计人才队伍建</w:t>
      </w:r>
      <w:r>
        <w:rPr>
          <w:rFonts w:ascii="SimSun" w:hAnsi="SimSun" w:eastAsia="SimSun" w:cs="SimSun"/>
          <w:sz w:val="17"/>
          <w:szCs w:val="17"/>
          <w:color w:val="333333"/>
          <w:spacing w:val="35"/>
        </w:rPr>
        <w:t> </w:t>
      </w:r>
      <w:r>
        <w:rPr>
          <w:rFonts w:ascii="SimSun" w:hAnsi="SimSun" w:eastAsia="SimSun" w:cs="SimSun"/>
          <w:sz w:val="17"/>
          <w:szCs w:val="17"/>
          <w:color w:val="333333"/>
          <w:spacing w:val="2"/>
        </w:rPr>
        <w:t>设，提升面向管理会计的信息系统建设水平，全面提高我国管理会计体系建设质量。解决制约管理会计发展的重点难点问题，增强</w:t>
      </w:r>
      <w:r>
        <w:rPr>
          <w:rFonts w:ascii="SimSun" w:hAnsi="SimSun" w:eastAsia="SimSun" w:cs="SimSun"/>
          <w:sz w:val="17"/>
          <w:szCs w:val="17"/>
          <w:color w:val="333333"/>
          <w:spacing w:val="35"/>
        </w:rPr>
        <w:t> </w:t>
      </w:r>
      <w:r>
        <w:rPr>
          <w:rFonts w:ascii="SimSun" w:hAnsi="SimSun" w:eastAsia="SimSun" w:cs="SimSun"/>
          <w:sz w:val="17"/>
          <w:szCs w:val="17"/>
          <w:color w:val="333333"/>
          <w:spacing w:val="5"/>
        </w:rPr>
        <w:t>企事业单位的内生动力，实现我国管理会计跨越式发展。推动会计行业进一步向专业化和价值链高端延伸，进一步发挥政府、社</w:t>
      </w:r>
      <w:r>
        <w:rPr>
          <w:rFonts w:ascii="SimSun" w:hAnsi="SimSun" w:eastAsia="SimSun" w:cs="SimSun"/>
          <w:sz w:val="17"/>
          <w:szCs w:val="17"/>
          <w:color w:val="333333"/>
          <w:spacing w:val="39"/>
        </w:rPr>
        <w:t> </w:t>
      </w:r>
      <w:r>
        <w:rPr>
          <w:rFonts w:ascii="SimSun" w:hAnsi="SimSun" w:eastAsia="SimSun" w:cs="SimSun"/>
          <w:sz w:val="17"/>
          <w:szCs w:val="17"/>
          <w:color w:val="333333"/>
          <w:spacing w:val="8"/>
        </w:rPr>
        <w:t>会、单位协同机制，</w:t>
      </w:r>
      <w:r>
        <w:rPr>
          <w:rFonts w:ascii="SimSun" w:hAnsi="SimSun" w:eastAsia="SimSun" w:cs="SimSun"/>
          <w:sz w:val="17"/>
          <w:szCs w:val="17"/>
          <w:color w:val="333333"/>
          <w:spacing w:val="-36"/>
        </w:rPr>
        <w:t> </w:t>
      </w:r>
      <w:r>
        <w:rPr>
          <w:rFonts w:ascii="SimSun" w:hAnsi="SimSun" w:eastAsia="SimSun" w:cs="SimSun"/>
          <w:sz w:val="17"/>
          <w:szCs w:val="17"/>
          <w:color w:val="333333"/>
          <w:spacing w:val="8"/>
        </w:rPr>
        <w:t>以管理会计人才建设为依托，统筹推进管理会计各项建设，为新时代我国经济社会高质量发展提供有力支</w:t>
      </w:r>
      <w:r>
        <w:rPr>
          <w:rFonts w:ascii="SimSun" w:hAnsi="SimSun" w:eastAsia="SimSun" w:cs="SimSun"/>
          <w:sz w:val="17"/>
          <w:szCs w:val="17"/>
          <w:color w:val="333333"/>
        </w:rPr>
        <w:t> </w:t>
      </w:r>
      <w:r>
        <w:rPr>
          <w:rFonts w:ascii="SimSun" w:hAnsi="SimSun" w:eastAsia="SimSun" w:cs="SimSun"/>
          <w:sz w:val="17"/>
          <w:szCs w:val="17"/>
          <w:color w:val="333333"/>
          <w:spacing w:val="-7"/>
        </w:rPr>
        <w:t>持。</w:t>
      </w:r>
    </w:p>
    <w:p>
      <w:pPr>
        <w:ind w:left="1044" w:right="1016" w:firstLine="361"/>
        <w:spacing w:before="109" w:line="327" w:lineRule="auto"/>
        <w:rPr>
          <w:rFonts w:ascii="SimSun" w:hAnsi="SimSun" w:eastAsia="SimSun" w:cs="SimSun"/>
          <w:sz w:val="17"/>
          <w:szCs w:val="17"/>
        </w:rPr>
      </w:pPr>
      <w:r>
        <w:rPr>
          <w:rFonts w:ascii="SimSun" w:hAnsi="SimSun" w:eastAsia="SimSun" w:cs="SimSun"/>
          <w:sz w:val="17"/>
          <w:szCs w:val="17"/>
          <w:color w:val="333333"/>
          <w:spacing w:val="3"/>
        </w:rPr>
        <w:t>（二）</w:t>
      </w:r>
      <w:r>
        <w:rPr>
          <w:rFonts w:ascii="SimSun" w:hAnsi="SimSun" w:eastAsia="SimSun" w:cs="SimSun"/>
          <w:sz w:val="17"/>
          <w:szCs w:val="17"/>
          <w:color w:val="333333"/>
          <w:spacing w:val="50"/>
        </w:rPr>
        <w:t> </w:t>
      </w:r>
      <w:r>
        <w:rPr>
          <w:rFonts w:ascii="SimSun" w:hAnsi="SimSun" w:eastAsia="SimSun" w:cs="SimSun"/>
          <w:sz w:val="17"/>
          <w:szCs w:val="17"/>
          <w:color w:val="333333"/>
          <w:spacing w:val="3"/>
        </w:rPr>
        <w:t>研究制定管理会计应用指南。管理会计实践具有鲜明的开放性、灵活性和差异化特征，管理会计内容涵盖单位各个方</w:t>
      </w:r>
      <w:r>
        <w:rPr>
          <w:rFonts w:ascii="SimSun" w:hAnsi="SimSun" w:eastAsia="SimSun" w:cs="SimSun"/>
          <w:sz w:val="17"/>
          <w:szCs w:val="17"/>
          <w:color w:val="333333"/>
        </w:rPr>
        <w:t> </w:t>
      </w:r>
      <w:r>
        <w:rPr>
          <w:rFonts w:ascii="SimSun" w:hAnsi="SimSun" w:eastAsia="SimSun" w:cs="SimSun"/>
          <w:sz w:val="17"/>
          <w:szCs w:val="17"/>
          <w:color w:val="333333"/>
          <w:spacing w:val="2"/>
        </w:rPr>
        <w:t>面，不同类型的单位推进管理会计的侧重点和步骤有所不同，管理会计理论和工具方法要与单位的具体实际相结合，不同行业、不</w:t>
      </w:r>
      <w:r>
        <w:rPr>
          <w:rFonts w:ascii="SimSun" w:hAnsi="SimSun" w:eastAsia="SimSun" w:cs="SimSun"/>
          <w:sz w:val="17"/>
          <w:szCs w:val="17"/>
          <w:color w:val="333333"/>
          <w:spacing w:val="34"/>
        </w:rPr>
        <w:t> </w:t>
      </w:r>
      <w:r>
        <w:rPr>
          <w:rFonts w:ascii="SimSun" w:hAnsi="SimSun" w:eastAsia="SimSun" w:cs="SimSun"/>
          <w:sz w:val="17"/>
          <w:szCs w:val="17"/>
          <w:color w:val="333333"/>
          <w:spacing w:val="2"/>
        </w:rPr>
        <w:t>同企业、不同发展阶段，在管理会计应用上要有不同侧重，选择适用的工具方法。针对这一推动管理会计应用的难点，财政部将加</w:t>
      </w:r>
      <w:r>
        <w:rPr>
          <w:rFonts w:ascii="SimSun" w:hAnsi="SimSun" w:eastAsia="SimSun" w:cs="SimSun"/>
          <w:sz w:val="17"/>
          <w:szCs w:val="17"/>
          <w:color w:val="333333"/>
          <w:spacing w:val="34"/>
        </w:rPr>
        <w:t> </w:t>
      </w:r>
      <w:r>
        <w:rPr>
          <w:rFonts w:ascii="SimSun" w:hAnsi="SimSun" w:eastAsia="SimSun" w:cs="SimSun"/>
          <w:sz w:val="17"/>
          <w:szCs w:val="17"/>
          <w:color w:val="333333"/>
          <w:spacing w:val="2"/>
        </w:rPr>
        <w:t>强分类指导，针对具体行业、重点领域、常用工具，适时组织编写应用指南，在管理会计指引与企事业单位管理会计实务之间架设</w:t>
      </w:r>
      <w:r>
        <w:rPr>
          <w:rFonts w:ascii="SimSun" w:hAnsi="SimSun" w:eastAsia="SimSun" w:cs="SimSun"/>
          <w:sz w:val="17"/>
          <w:szCs w:val="17"/>
          <w:color w:val="333333"/>
          <w:spacing w:val="34"/>
        </w:rPr>
        <w:t> </w:t>
      </w:r>
      <w:r>
        <w:rPr>
          <w:rFonts w:ascii="SimSun" w:hAnsi="SimSun" w:eastAsia="SimSun" w:cs="SimSun"/>
          <w:sz w:val="17"/>
          <w:szCs w:val="17"/>
          <w:color w:val="333333"/>
          <w:spacing w:val="2"/>
        </w:rPr>
        <w:t>桥梁，既要总结普遍规律，加以推广应用，又要根据不同情况，从实际出发，有计划、分情况地稳妥实施，解决实务当中的问题，</w:t>
      </w:r>
      <w:r>
        <w:rPr>
          <w:rFonts w:ascii="SimSun" w:hAnsi="SimSun" w:eastAsia="SimSun" w:cs="SimSun"/>
          <w:sz w:val="17"/>
          <w:szCs w:val="17"/>
          <w:color w:val="333333"/>
          <w:spacing w:val="34"/>
        </w:rPr>
        <w:t> </w:t>
      </w:r>
      <w:r>
        <w:rPr>
          <w:rFonts w:ascii="SimSun" w:hAnsi="SimSun" w:eastAsia="SimSun" w:cs="SimSun"/>
          <w:sz w:val="17"/>
          <w:szCs w:val="17"/>
          <w:color w:val="333333"/>
          <w:spacing w:val="1"/>
        </w:rPr>
        <w:t>加强管理会计指引的可操作性和应用落地，促进管理会计工作的实践推广。</w:t>
      </w:r>
    </w:p>
    <w:p>
      <w:pPr>
        <w:ind w:left="1045" w:right="1016" w:firstLine="350"/>
        <w:spacing w:before="108" w:line="327" w:lineRule="auto"/>
        <w:rPr>
          <w:rFonts w:ascii="SimSun" w:hAnsi="SimSun" w:eastAsia="SimSun" w:cs="SimSun"/>
          <w:sz w:val="17"/>
          <w:szCs w:val="17"/>
        </w:rPr>
      </w:pPr>
      <w:r>
        <w:rPr>
          <w:rFonts w:ascii="SimSun" w:hAnsi="SimSun" w:eastAsia="SimSun" w:cs="SimSun"/>
          <w:sz w:val="17"/>
          <w:szCs w:val="17"/>
          <w:color w:val="333333"/>
          <w:spacing w:val="1"/>
        </w:rPr>
        <w:t>（三）</w:t>
      </w:r>
      <w:r>
        <w:rPr>
          <w:rFonts w:ascii="SimSun" w:hAnsi="SimSun" w:eastAsia="SimSun" w:cs="SimSun"/>
          <w:sz w:val="17"/>
          <w:szCs w:val="17"/>
          <w:color w:val="333333"/>
          <w:spacing w:val="-4"/>
        </w:rPr>
        <w:t> </w:t>
      </w:r>
      <w:r>
        <w:rPr>
          <w:rFonts w:ascii="SimSun" w:hAnsi="SimSun" w:eastAsia="SimSun" w:cs="SimSun"/>
          <w:sz w:val="17"/>
          <w:szCs w:val="17"/>
          <w:color w:val="333333"/>
          <w:spacing w:val="1"/>
        </w:rPr>
        <w:t>加大管理会计人才培养力度。针对管理会计应用的需要，财政部将扩大具有管理会计技能的高端会计人才培养规模，完</w:t>
      </w:r>
      <w:r>
        <w:rPr>
          <w:rFonts w:ascii="SimSun" w:hAnsi="SimSun" w:eastAsia="SimSun" w:cs="SimSun"/>
          <w:sz w:val="17"/>
          <w:szCs w:val="17"/>
          <w:color w:val="333333"/>
          <w:w w:val="101"/>
        </w:rPr>
        <w:t> </w:t>
      </w:r>
      <w:r>
        <w:rPr>
          <w:rFonts w:ascii="SimSun" w:hAnsi="SimSun" w:eastAsia="SimSun" w:cs="SimSun"/>
          <w:sz w:val="17"/>
          <w:szCs w:val="17"/>
          <w:color w:val="333333"/>
          <w:spacing w:val="2"/>
        </w:rPr>
        <w:t>善高端会计人才的能力框架。在会计专业技术资格考试大纲中加大管理会计权重，将管理会计纳入会计相关资格考试和会计人员后</w:t>
      </w:r>
      <w:r>
        <w:rPr>
          <w:rFonts w:ascii="SimSun" w:hAnsi="SimSun" w:eastAsia="SimSun" w:cs="SimSun"/>
          <w:sz w:val="17"/>
          <w:szCs w:val="17"/>
          <w:color w:val="333333"/>
          <w:spacing w:val="33"/>
        </w:rPr>
        <w:t> </w:t>
      </w:r>
      <w:r>
        <w:rPr>
          <w:rFonts w:ascii="SimSun" w:hAnsi="SimSun" w:eastAsia="SimSun" w:cs="SimSun"/>
          <w:sz w:val="17"/>
          <w:szCs w:val="17"/>
          <w:color w:val="333333"/>
          <w:spacing w:val="2"/>
        </w:rPr>
        <w:t>续教育体系，提升现有会计人员综合素质和能力。适当增加信息化技术的考试内容。财政部将继续依托现有全国高端会计人才培养</w:t>
      </w:r>
      <w:r>
        <w:rPr>
          <w:rFonts w:ascii="SimSun" w:hAnsi="SimSun" w:eastAsia="SimSun" w:cs="SimSun"/>
          <w:sz w:val="17"/>
          <w:szCs w:val="17"/>
          <w:color w:val="333333"/>
          <w:spacing w:val="33"/>
        </w:rPr>
        <w:t> </w:t>
      </w:r>
      <w:r>
        <w:rPr>
          <w:rFonts w:ascii="SimSun" w:hAnsi="SimSun" w:eastAsia="SimSun" w:cs="SimSun"/>
          <w:sz w:val="17"/>
          <w:szCs w:val="17"/>
          <w:color w:val="333333"/>
        </w:rPr>
        <w:t>工程、总会计师素质提升工程、国际化高端会计人才培养计划等，推进管理会计高端人才培养；</w:t>
      </w:r>
      <w:r>
        <w:rPr>
          <w:rFonts w:ascii="SimSun" w:hAnsi="SimSun" w:eastAsia="SimSun" w:cs="SimSun"/>
          <w:sz w:val="17"/>
          <w:szCs w:val="17"/>
          <w:color w:val="333333"/>
          <w:spacing w:val="62"/>
        </w:rPr>
        <w:t> </w:t>
      </w:r>
      <w:r>
        <w:rPr>
          <w:rFonts w:ascii="SimSun" w:hAnsi="SimSun" w:eastAsia="SimSun" w:cs="SimSun"/>
          <w:sz w:val="17"/>
          <w:szCs w:val="17"/>
          <w:color w:val="333333"/>
        </w:rPr>
        <w:t>同时，鼓励国家会计学院以及各高</w:t>
      </w:r>
      <w:r>
        <w:rPr>
          <w:rFonts w:ascii="SimSun" w:hAnsi="SimSun" w:eastAsia="SimSun" w:cs="SimSun"/>
          <w:sz w:val="17"/>
          <w:szCs w:val="17"/>
          <w:color w:val="333333"/>
        </w:rPr>
        <w:t> </w:t>
      </w:r>
      <w:r>
        <w:rPr>
          <w:rFonts w:ascii="SimSun" w:hAnsi="SimSun" w:eastAsia="SimSun" w:cs="SimSun"/>
          <w:sz w:val="17"/>
          <w:szCs w:val="17"/>
          <w:color w:val="333333"/>
          <w:spacing w:val="2"/>
        </w:rPr>
        <w:t>等院校等强化管理会计课程体系和师资队伍建设，加强管理会计专业方向建设和管理会计人才培养。鼓励并支持各单位立足本单位</w:t>
      </w:r>
      <w:r>
        <w:rPr>
          <w:rFonts w:ascii="SimSun" w:hAnsi="SimSun" w:eastAsia="SimSun" w:cs="SimSun"/>
          <w:sz w:val="17"/>
          <w:szCs w:val="17"/>
          <w:color w:val="333333"/>
          <w:spacing w:val="33"/>
        </w:rPr>
        <w:t> </w:t>
      </w:r>
      <w:r>
        <w:rPr>
          <w:rFonts w:ascii="SimSun" w:hAnsi="SimSun" w:eastAsia="SimSun" w:cs="SimSun"/>
          <w:sz w:val="17"/>
          <w:szCs w:val="17"/>
          <w:color w:val="333333"/>
          <w:spacing w:val="1"/>
        </w:rPr>
        <w:t>的实际情况，根据实务需要，开展管理会计学习培训，为深化管理会计应用提供良好的人才基础。</w:t>
      </w:r>
    </w:p>
    <w:p>
      <w:pPr>
        <w:ind w:left="1044" w:right="1016" w:firstLine="351"/>
        <w:spacing w:before="109" w:line="327" w:lineRule="auto"/>
        <w:rPr>
          <w:rFonts w:ascii="SimSun" w:hAnsi="SimSun" w:eastAsia="SimSun" w:cs="SimSun"/>
          <w:sz w:val="17"/>
          <w:szCs w:val="17"/>
        </w:rPr>
      </w:pPr>
      <w:r>
        <w:rPr>
          <w:rFonts w:ascii="SimSun" w:hAnsi="SimSun" w:eastAsia="SimSun" w:cs="SimSun"/>
          <w:sz w:val="17"/>
          <w:szCs w:val="17"/>
          <w:color w:val="333333"/>
        </w:rPr>
        <w:t>（四）</w:t>
      </w:r>
      <w:r>
        <w:rPr>
          <w:rFonts w:ascii="SimSun" w:hAnsi="SimSun" w:eastAsia="SimSun" w:cs="SimSun"/>
          <w:sz w:val="17"/>
          <w:szCs w:val="17"/>
          <w:color w:val="333333"/>
          <w:spacing w:val="51"/>
          <w:w w:val="101"/>
        </w:rPr>
        <w:t> </w:t>
      </w:r>
      <w:r>
        <w:rPr>
          <w:rFonts w:ascii="SimSun" w:hAnsi="SimSun" w:eastAsia="SimSun" w:cs="SimSun"/>
          <w:sz w:val="17"/>
          <w:szCs w:val="17"/>
          <w:color w:val="333333"/>
        </w:rPr>
        <w:t>建立常态化案例库建设机制。建立管理会计案例库建设的长效机制是全面深化管理会计应用目标的重要手段。财政部将</w:t>
      </w:r>
      <w:r>
        <w:rPr>
          <w:rFonts w:ascii="SimSun" w:hAnsi="SimSun" w:eastAsia="SimSun" w:cs="SimSun"/>
          <w:sz w:val="17"/>
          <w:szCs w:val="17"/>
          <w:color w:val="333333"/>
        </w:rPr>
        <w:t> </w:t>
      </w:r>
      <w:r>
        <w:rPr>
          <w:rFonts w:ascii="SimSun" w:hAnsi="SimSun" w:eastAsia="SimSun" w:cs="SimSun"/>
          <w:sz w:val="17"/>
          <w:szCs w:val="17"/>
          <w:color w:val="333333"/>
          <w:spacing w:val="2"/>
        </w:rPr>
        <w:t>从案例库建设的规划与组织机制、开发机制、评审机制、使用机制、激励机制和保障机制等多个方面进行系统的规划和设计，实现</w:t>
      </w:r>
      <w:r>
        <w:rPr>
          <w:rFonts w:ascii="SimSun" w:hAnsi="SimSun" w:eastAsia="SimSun" w:cs="SimSun"/>
          <w:sz w:val="17"/>
          <w:szCs w:val="17"/>
          <w:color w:val="333333"/>
          <w:spacing w:val="34"/>
        </w:rPr>
        <w:t> </w:t>
      </w:r>
      <w:r>
        <w:rPr>
          <w:rFonts w:ascii="SimSun" w:hAnsi="SimSun" w:eastAsia="SimSun" w:cs="SimSun"/>
          <w:sz w:val="17"/>
          <w:szCs w:val="17"/>
          <w:color w:val="333333"/>
          <w:spacing w:val="5"/>
        </w:rPr>
        <w:t>案例库建设的完整闭环管理，以形成一个常态化和可持续性的长效机制。同时，继续推动将实践中经验和做法总结提炼为典型案</w:t>
      </w:r>
      <w:r>
        <w:rPr>
          <w:rFonts w:ascii="SimSun" w:hAnsi="SimSun" w:eastAsia="SimSun" w:cs="SimSun"/>
          <w:sz w:val="17"/>
          <w:szCs w:val="17"/>
          <w:color w:val="333333"/>
          <w:spacing w:val="38"/>
        </w:rPr>
        <w:t> </w:t>
      </w:r>
      <w:r>
        <w:rPr>
          <w:rFonts w:ascii="SimSun" w:hAnsi="SimSun" w:eastAsia="SimSun" w:cs="SimSun"/>
          <w:sz w:val="17"/>
          <w:szCs w:val="17"/>
          <w:color w:val="333333"/>
          <w:spacing w:val="2"/>
        </w:rPr>
        <w:t>例，丰富完善管理会计案例库。继续推动各级财政部门和企事业单位开展管理会计应用试点，探索管理会计工具方法与单位管理实</w:t>
      </w:r>
      <w:r>
        <w:rPr>
          <w:rFonts w:ascii="SimSun" w:hAnsi="SimSun" w:eastAsia="SimSun" w:cs="SimSun"/>
          <w:sz w:val="17"/>
          <w:szCs w:val="17"/>
          <w:color w:val="333333"/>
          <w:spacing w:val="34"/>
        </w:rPr>
        <w:t> </w:t>
      </w:r>
      <w:r>
        <w:rPr>
          <w:rFonts w:ascii="SimSun" w:hAnsi="SimSun" w:eastAsia="SimSun" w:cs="SimSun"/>
          <w:sz w:val="17"/>
          <w:szCs w:val="17"/>
          <w:color w:val="333333"/>
          <w:spacing w:val="2"/>
        </w:rPr>
        <w:t>务结合的最佳做法，及时跟踪试点单位实施情况并总结试点经验，逐步形成并扩大试点单位的良好示范效应，带动更多单位推进管</w:t>
      </w:r>
      <w:r>
        <w:rPr>
          <w:rFonts w:ascii="SimSun" w:hAnsi="SimSun" w:eastAsia="SimSun" w:cs="SimSun"/>
          <w:sz w:val="17"/>
          <w:szCs w:val="17"/>
          <w:color w:val="333333"/>
          <w:spacing w:val="34"/>
        </w:rPr>
        <w:t> </w:t>
      </w:r>
      <w:r>
        <w:rPr>
          <w:rFonts w:ascii="SimSun" w:hAnsi="SimSun" w:eastAsia="SimSun" w:cs="SimSun"/>
          <w:sz w:val="17"/>
          <w:szCs w:val="17"/>
          <w:color w:val="333333"/>
          <w:spacing w:val="2"/>
        </w:rPr>
        <w:t>理会计应用，提升管理水平。通过案例总结提炼中国管理会计实践经验模式，形成可复制、可操作的应用模式。切实服务于各单位</w:t>
      </w:r>
      <w:r>
        <w:rPr>
          <w:rFonts w:ascii="SimSun" w:hAnsi="SimSun" w:eastAsia="SimSun" w:cs="SimSun"/>
          <w:sz w:val="17"/>
          <w:szCs w:val="17"/>
          <w:color w:val="333333"/>
          <w:spacing w:val="34"/>
        </w:rPr>
        <w:t> </w:t>
      </w:r>
      <w:r>
        <w:rPr>
          <w:rFonts w:ascii="SimSun" w:hAnsi="SimSun" w:eastAsia="SimSun" w:cs="SimSun"/>
          <w:sz w:val="17"/>
          <w:szCs w:val="17"/>
          <w:color w:val="333333"/>
          <w:spacing w:val="1"/>
        </w:rPr>
        <w:t>管理水平的提升，实现单位高质量发展，进而推动中国管理会计实践经验的体系化与常态化。</w:t>
      </w:r>
    </w:p>
    <w:p>
      <w:pPr>
        <w:ind w:left="1044" w:right="1016" w:firstLine="351"/>
        <w:spacing w:before="109" w:line="327" w:lineRule="auto"/>
        <w:rPr>
          <w:rFonts w:ascii="SimSun" w:hAnsi="SimSun" w:eastAsia="SimSun" w:cs="SimSun"/>
          <w:sz w:val="17"/>
          <w:szCs w:val="17"/>
        </w:rPr>
      </w:pPr>
      <w:r>
        <w:rPr>
          <w:rFonts w:ascii="SimSun" w:hAnsi="SimSun" w:eastAsia="SimSun" w:cs="SimSun"/>
          <w:sz w:val="17"/>
          <w:szCs w:val="17"/>
          <w:color w:val="333333"/>
          <w:spacing w:val="1"/>
        </w:rPr>
        <w:t>（五）</w:t>
      </w:r>
      <w:r>
        <w:rPr>
          <w:rFonts w:ascii="SimSun" w:hAnsi="SimSun" w:eastAsia="SimSun" w:cs="SimSun"/>
          <w:sz w:val="17"/>
          <w:szCs w:val="17"/>
          <w:color w:val="333333"/>
          <w:spacing w:val="-4"/>
        </w:rPr>
        <w:t> </w:t>
      </w:r>
      <w:r>
        <w:rPr>
          <w:rFonts w:ascii="SimSun" w:hAnsi="SimSun" w:eastAsia="SimSun" w:cs="SimSun"/>
          <w:sz w:val="17"/>
          <w:szCs w:val="17"/>
          <w:color w:val="333333"/>
          <w:spacing w:val="1"/>
        </w:rPr>
        <w:t>全面提升管理会计信息化水平。单位的信息化建设是管理会计工作开展的重要基础。为满足精细化管理、科学化决策和</w:t>
      </w:r>
      <w:r>
        <w:rPr>
          <w:rFonts w:ascii="SimSun" w:hAnsi="SimSun" w:eastAsia="SimSun" w:cs="SimSun"/>
          <w:sz w:val="17"/>
          <w:szCs w:val="17"/>
          <w:color w:val="333333"/>
          <w:w w:val="101"/>
        </w:rPr>
        <w:t> </w:t>
      </w:r>
      <w:r>
        <w:rPr>
          <w:rFonts w:ascii="SimSun" w:hAnsi="SimSun" w:eastAsia="SimSun" w:cs="SimSun"/>
          <w:sz w:val="17"/>
          <w:szCs w:val="17"/>
          <w:color w:val="333333"/>
          <w:spacing w:val="2"/>
        </w:rPr>
        <w:t>有效防控风险的要求，财政部将主动适应数字化变革的时代趋势，把提质增效与数字化转型相结合，以会计数据标准为先导，以数</w:t>
      </w:r>
      <w:r>
        <w:rPr>
          <w:rFonts w:ascii="SimSun" w:hAnsi="SimSun" w:eastAsia="SimSun" w:cs="SimSun"/>
          <w:sz w:val="17"/>
          <w:szCs w:val="17"/>
          <w:color w:val="333333"/>
          <w:spacing w:val="34"/>
        </w:rPr>
        <w:t> </w:t>
      </w:r>
      <w:r>
        <w:rPr>
          <w:rFonts w:ascii="SimSun" w:hAnsi="SimSun" w:eastAsia="SimSun" w:cs="SimSun"/>
          <w:sz w:val="17"/>
          <w:szCs w:val="17"/>
          <w:color w:val="333333"/>
          <w:spacing w:val="2"/>
        </w:rPr>
        <w:t>字化技术为支撑，加快构建国家统一的会计数据标准体系，加快制定试点推广会计数据标准，为单位应用管理会计提供良好的基础</w:t>
      </w:r>
      <w:r>
        <w:rPr>
          <w:rFonts w:ascii="SimSun" w:hAnsi="SimSun" w:eastAsia="SimSun" w:cs="SimSun"/>
          <w:sz w:val="17"/>
          <w:szCs w:val="17"/>
          <w:color w:val="333333"/>
          <w:spacing w:val="34"/>
        </w:rPr>
        <w:t> </w:t>
      </w:r>
      <w:r>
        <w:rPr>
          <w:rFonts w:ascii="SimSun" w:hAnsi="SimSun" w:eastAsia="SimSun" w:cs="SimSun"/>
          <w:sz w:val="17"/>
          <w:szCs w:val="17"/>
          <w:color w:val="333333"/>
          <w:spacing w:val="2"/>
        </w:rPr>
        <w:t>和环境。同时，进一步指导单位夯实管理会计应用的数据基础，完善业财融合的信息系统架构，拓宽会计信息化服务领域，进一步</w:t>
      </w:r>
      <w:r>
        <w:rPr>
          <w:rFonts w:ascii="SimSun" w:hAnsi="SimSun" w:eastAsia="SimSun" w:cs="SimSun"/>
          <w:sz w:val="17"/>
          <w:szCs w:val="17"/>
          <w:color w:val="333333"/>
          <w:spacing w:val="34"/>
        </w:rPr>
        <w:t> </w:t>
      </w:r>
      <w:r>
        <w:rPr>
          <w:rFonts w:ascii="SimSun" w:hAnsi="SimSun" w:eastAsia="SimSun" w:cs="SimSun"/>
          <w:sz w:val="17"/>
          <w:szCs w:val="17"/>
          <w:color w:val="333333"/>
          <w:spacing w:val="2"/>
        </w:rPr>
        <w:t>提升面向管理会计的信息系统建设水平，推进财务信息系统与业务信息系统的深度融合。鼓励单位建立面向管理会计的信息系统，</w:t>
      </w:r>
      <w:r>
        <w:rPr>
          <w:rFonts w:ascii="SimSun" w:hAnsi="SimSun" w:eastAsia="SimSun" w:cs="SimSun"/>
          <w:sz w:val="17"/>
          <w:szCs w:val="17"/>
          <w:color w:val="333333"/>
          <w:spacing w:val="34"/>
        </w:rPr>
        <w:t> </w:t>
      </w:r>
      <w:r>
        <w:rPr>
          <w:rFonts w:ascii="SimSun" w:hAnsi="SimSun" w:eastAsia="SimSun" w:cs="SimSun"/>
          <w:sz w:val="17"/>
          <w:szCs w:val="17"/>
          <w:color w:val="333333"/>
          <w:spacing w:val="2"/>
        </w:rPr>
        <w:t>以管理会计理念和技术方法为基础，以信息化和标准化为支撑，有效整合财务和非财务信息，借助互联网、人工智能、大数据等新</w:t>
      </w:r>
      <w:r>
        <w:rPr>
          <w:rFonts w:ascii="SimSun" w:hAnsi="SimSun" w:eastAsia="SimSun" w:cs="SimSun"/>
          <w:sz w:val="17"/>
          <w:szCs w:val="17"/>
          <w:color w:val="333333"/>
          <w:spacing w:val="34"/>
        </w:rPr>
        <w:t> </w:t>
      </w:r>
      <w:r>
        <w:rPr>
          <w:rFonts w:ascii="SimSun" w:hAnsi="SimSun" w:eastAsia="SimSun" w:cs="SimSun"/>
          <w:sz w:val="17"/>
          <w:szCs w:val="17"/>
          <w:color w:val="333333"/>
          <w:spacing w:val="2"/>
        </w:rPr>
        <w:t>技术，实现会计与业务活动的有机融合，从源头上防止“烟囱林立、孤岛遍地”</w:t>
      </w:r>
      <w:r>
        <w:rPr>
          <w:rFonts w:ascii="SimSun" w:hAnsi="SimSun" w:eastAsia="SimSun" w:cs="SimSun"/>
          <w:sz w:val="17"/>
          <w:szCs w:val="17"/>
          <w:color w:val="333333"/>
          <w:spacing w:val="-51"/>
        </w:rPr>
        <w:t> </w:t>
      </w:r>
      <w:r>
        <w:rPr>
          <w:rFonts w:ascii="SimSun" w:hAnsi="SimSun" w:eastAsia="SimSun" w:cs="SimSun"/>
          <w:sz w:val="17"/>
          <w:szCs w:val="17"/>
          <w:color w:val="333333"/>
          <w:spacing w:val="2"/>
        </w:rPr>
        <w:t>，为推动管理会计应用落地和发挥管理会计功效提</w:t>
      </w:r>
      <w:r>
        <w:rPr>
          <w:rFonts w:ascii="SimSun" w:hAnsi="SimSun" w:eastAsia="SimSun" w:cs="SimSun"/>
          <w:sz w:val="17"/>
          <w:szCs w:val="17"/>
          <w:color w:val="333333"/>
        </w:rPr>
        <w:t> </w:t>
      </w:r>
      <w:r>
        <w:rPr>
          <w:rFonts w:ascii="SimSun" w:hAnsi="SimSun" w:eastAsia="SimSun" w:cs="SimSun"/>
          <w:sz w:val="17"/>
          <w:szCs w:val="17"/>
          <w:color w:val="333333"/>
          <w:spacing w:val="2"/>
        </w:rPr>
        <w:t>供技术支撑。此外，鼓励具有一定规模的单位建立并深化运用财务共享服务中心，推动会计职能从核算向管理拓展。鼓励会计软件</w:t>
      </w:r>
      <w:r>
        <w:rPr>
          <w:rFonts w:ascii="SimSun" w:hAnsi="SimSun" w:eastAsia="SimSun" w:cs="SimSun"/>
          <w:sz w:val="17"/>
          <w:szCs w:val="17"/>
          <w:color w:val="333333"/>
          <w:spacing w:val="34"/>
        </w:rPr>
        <w:t> </w:t>
      </w:r>
      <w:r>
        <w:rPr>
          <w:rFonts w:ascii="SimSun" w:hAnsi="SimSun" w:eastAsia="SimSun" w:cs="SimSun"/>
          <w:sz w:val="17"/>
          <w:szCs w:val="17"/>
          <w:color w:val="333333"/>
          <w:spacing w:val="1"/>
        </w:rPr>
        <w:t>公司和有关中介服务机构积极拓展管理会计信息化服务领域，为信息化和管理会计深度融合发展提供助力。</w:t>
      </w:r>
    </w:p>
    <w:p>
      <w:pPr>
        <w:ind w:firstLine="1404"/>
        <w:spacing w:before="107" w:line="187" w:lineRule="auto"/>
        <w:rPr>
          <w:rFonts w:ascii="SimSun" w:hAnsi="SimSun" w:eastAsia="SimSun" w:cs="SimSun"/>
          <w:sz w:val="17"/>
          <w:szCs w:val="17"/>
        </w:rPr>
      </w:pPr>
      <w:r>
        <w:rPr>
          <w:rFonts w:ascii="SimSun" w:hAnsi="SimSun" w:eastAsia="SimSun" w:cs="SimSun"/>
          <w:sz w:val="17"/>
          <w:szCs w:val="17"/>
          <w:color w:val="333333"/>
          <w:spacing w:val="10"/>
        </w:rPr>
        <w:t>四、落实重要举措的有关要求</w:t>
      </w:r>
    </w:p>
    <w:p>
      <w:pPr>
        <w:ind w:left="1046" w:right="1016" w:firstLine="266"/>
        <w:spacing w:before="238" w:line="327" w:lineRule="auto"/>
        <w:rPr>
          <w:rFonts w:ascii="SimSun" w:hAnsi="SimSun" w:eastAsia="SimSun" w:cs="SimSun"/>
          <w:sz w:val="17"/>
          <w:szCs w:val="17"/>
        </w:rPr>
      </w:pPr>
      <w:r>
        <w:rPr>
          <w:rFonts w:ascii="SimSun" w:hAnsi="SimSun" w:eastAsia="SimSun" w:cs="SimSun"/>
          <w:sz w:val="17"/>
          <w:szCs w:val="17"/>
          <w:color w:val="333333"/>
          <w:spacing w:val="4"/>
        </w:rPr>
        <w:t>（一）政府部门大力推动。财政部作为会计工作的主管部门，做好顶层设计，结合我国管理会计理论与实践经验，大力推动管</w:t>
      </w:r>
      <w:r>
        <w:rPr>
          <w:rFonts w:ascii="SimSun" w:hAnsi="SimSun" w:eastAsia="SimSun" w:cs="SimSun"/>
          <w:sz w:val="17"/>
          <w:szCs w:val="17"/>
          <w:color w:val="333333"/>
        </w:rPr>
        <w:t> </w:t>
      </w:r>
      <w:r>
        <w:rPr>
          <w:rFonts w:ascii="SimSun" w:hAnsi="SimSun" w:eastAsia="SimSun" w:cs="SimSun"/>
          <w:sz w:val="17"/>
          <w:szCs w:val="17"/>
          <w:color w:val="333333"/>
        </w:rPr>
        <w:t>理会计应用；</w:t>
      </w:r>
      <w:r>
        <w:rPr>
          <w:rFonts w:ascii="SimSun" w:hAnsi="SimSun" w:eastAsia="SimSun" w:cs="SimSun"/>
          <w:sz w:val="17"/>
          <w:szCs w:val="17"/>
          <w:color w:val="333333"/>
          <w:spacing w:val="61"/>
        </w:rPr>
        <w:t> </w:t>
      </w:r>
      <w:r>
        <w:rPr>
          <w:rFonts w:ascii="SimSun" w:hAnsi="SimSun" w:eastAsia="SimSun" w:cs="SimSun"/>
          <w:sz w:val="17"/>
          <w:szCs w:val="17"/>
          <w:color w:val="333333"/>
        </w:rPr>
        <w:t>各级财政部门要立足行业管理职能，切实履行职责，加强统筹，继续做好组织、协调和指导工作，努力厚植管理会计</w:t>
      </w:r>
    </w:p>
    <w:p>
      <w:pPr>
        <w:ind w:firstLine="539"/>
        <w:spacing w:before="256" w:line="218" w:lineRule="exact"/>
        <w:rPr>
          <w:rFonts w:ascii="Arial" w:hAnsi="Arial" w:eastAsia="Arial" w:cs="Arial"/>
          <w:sz w:val="16"/>
          <w:szCs w:val="16"/>
        </w:rPr>
      </w:pPr>
      <w:r>
        <w:rPr>
          <w:rFonts w:ascii="Arial" w:hAnsi="Arial" w:eastAsia="Arial" w:cs="Arial"/>
          <w:sz w:val="16"/>
          <w:szCs w:val="16"/>
          <w:spacing w:val="-1"/>
        </w:rPr>
        <w:t>kjs.mof.gov.cn/zhengcejiedu/202203/t20220325_3798431.htm</w:t>
      </w:r>
      <w:r>
        <w:rPr>
          <w:rFonts w:ascii="Arial" w:hAnsi="Arial" w:eastAsia="Arial" w:cs="Arial"/>
          <w:sz w:val="16"/>
          <w:szCs w:val="16"/>
        </w:rPr>
        <w:t>                                                                                                                                            </w:t>
      </w:r>
      <w:r>
        <w:rPr>
          <w:rFonts w:ascii="Arial" w:hAnsi="Arial" w:eastAsia="Arial" w:cs="Arial"/>
          <w:sz w:val="16"/>
          <w:szCs w:val="16"/>
          <w:spacing w:val="-1"/>
        </w:rPr>
        <w:t>3/4</w:t>
      </w:r>
    </w:p>
    <w:p>
      <w:pPr>
        <w:sectPr>
          <w:pgSz w:w="11900" w:h="16839"/>
          <w:pgMar w:top="0" w:right="0" w:bottom="0" w:left="0" w:header="0" w:footer="0" w:gutter="0"/>
        </w:sectPr>
        <w:rPr/>
      </w:pPr>
    </w:p>
    <w:p>
      <w:pPr>
        <w:ind w:firstLine="533"/>
        <w:spacing w:before="293" w:line="191" w:lineRule="auto"/>
        <w:rPr>
          <w:rFonts w:ascii="Microsoft YaHei" w:hAnsi="Microsoft YaHei" w:eastAsia="Microsoft YaHei" w:cs="Microsoft YaHei"/>
          <w:sz w:val="16"/>
          <w:szCs w:val="16"/>
        </w:rPr>
      </w:pPr>
      <w:r>
        <w:drawing>
          <wp:anchor distT="0" distB="0" distL="0" distR="0" simplePos="0" relativeHeight="251667456" behindDoc="0" locked="0" layoutInCell="0" allowOverlap="1">
            <wp:simplePos x="0" y="0"/>
            <wp:positionH relativeFrom="page">
              <wp:posOffset>5410758</wp:posOffset>
            </wp:positionH>
            <wp:positionV relativeFrom="page">
              <wp:posOffset>3647947</wp:posOffset>
            </wp:positionV>
            <wp:extent cx="150317" cy="150317"/>
            <wp:effectExtent l="0" t="0" r="0" b="0"/>
            <wp:wrapNone/>
            <wp:docPr id="3" name="IM 3"/>
            <wp:cNvGraphicFramePr/>
            <a:graphic>
              <a:graphicData uri="http://schemas.openxmlformats.org/drawingml/2006/picture">
                <pic:pic>
                  <pic:nvPicPr>
                    <pic:cNvPr id="3" name="IM 3"/>
                    <pic:cNvPicPr/>
                  </pic:nvPicPr>
                  <pic:blipFill>
                    <a:blip r:embed="rId7"/>
                    <a:stretch>
                      <a:fillRect/>
                    </a:stretch>
                  </pic:blipFill>
                  <pic:spPr>
                    <a:xfrm rot="0">
                      <a:off x="0" y="0"/>
                      <a:ext cx="150317" cy="150317"/>
                    </a:xfrm>
                    <a:prstGeom prst="rect">
                      <a:avLst/>
                    </a:prstGeom>
                  </pic:spPr>
                </pic:pic>
              </a:graphicData>
            </a:graphic>
          </wp:anchor>
        </w:drawing>
      </w:r>
      <w:r>
        <w:drawing>
          <wp:anchor distT="0" distB="0" distL="0" distR="0" simplePos="0" relativeHeight="251666432" behindDoc="0" locked="0" layoutInCell="0" allowOverlap="1">
            <wp:simplePos x="0" y="0"/>
            <wp:positionH relativeFrom="page">
              <wp:posOffset>457123</wp:posOffset>
            </wp:positionH>
            <wp:positionV relativeFrom="page">
              <wp:posOffset>4283384</wp:posOffset>
            </wp:positionV>
            <wp:extent cx="6648119" cy="6832"/>
            <wp:effectExtent l="0" t="0" r="0" b="0"/>
            <wp:wrapNone/>
            <wp:docPr id="4" name="IM 4"/>
            <wp:cNvGraphicFramePr/>
            <a:graphic>
              <a:graphicData uri="http://schemas.openxmlformats.org/drawingml/2006/picture">
                <pic:pic>
                  <pic:nvPicPr>
                    <pic:cNvPr id="4" name="IM 4"/>
                    <pic:cNvPicPr/>
                  </pic:nvPicPr>
                  <pic:blipFill>
                    <a:blip r:embed="rId8"/>
                    <a:stretch>
                      <a:fillRect/>
                    </a:stretch>
                  </pic:blipFill>
                  <pic:spPr>
                    <a:xfrm rot="0">
                      <a:off x="0" y="0"/>
                      <a:ext cx="6648119" cy="6832"/>
                    </a:xfrm>
                    <a:prstGeom prst="rect">
                      <a:avLst/>
                    </a:prstGeom>
                  </pic:spPr>
                </pic:pic>
              </a:graphicData>
            </a:graphic>
          </wp:anchor>
        </w:drawing>
      </w:r>
      <w:r>
        <w:drawing>
          <wp:anchor distT="0" distB="0" distL="0" distR="0" simplePos="0" relativeHeight="251664384" behindDoc="0" locked="0" layoutInCell="0" allowOverlap="1">
            <wp:simplePos x="0" y="0"/>
            <wp:positionH relativeFrom="page">
              <wp:posOffset>1304366</wp:posOffset>
            </wp:positionH>
            <wp:positionV relativeFrom="page">
              <wp:posOffset>4768494</wp:posOffset>
            </wp:positionV>
            <wp:extent cx="840409" cy="362127"/>
            <wp:effectExtent l="0" t="0" r="0" b="0"/>
            <wp:wrapNone/>
            <wp:docPr id="5" name="IM 5"/>
            <wp:cNvGraphicFramePr/>
            <a:graphic>
              <a:graphicData uri="http://schemas.openxmlformats.org/drawingml/2006/picture">
                <pic:pic>
                  <pic:nvPicPr>
                    <pic:cNvPr id="5" name="IM 5"/>
                    <pic:cNvPicPr/>
                  </pic:nvPicPr>
                  <pic:blipFill>
                    <a:blip r:embed="rId9"/>
                    <a:stretch>
                      <a:fillRect/>
                    </a:stretch>
                  </pic:blipFill>
                  <pic:spPr>
                    <a:xfrm rot="0">
                      <a:off x="0" y="0"/>
                      <a:ext cx="840409" cy="362127"/>
                    </a:xfrm>
                    <a:prstGeom prst="rect">
                      <a:avLst/>
                    </a:prstGeom>
                  </pic:spPr>
                </pic:pic>
              </a:graphicData>
            </a:graphic>
          </wp:anchor>
        </w:drawing>
      </w:r>
      <w:r>
        <w:drawing>
          <wp:anchor distT="0" distB="0" distL="0" distR="0" simplePos="0" relativeHeight="251665408" behindDoc="0" locked="0" layoutInCell="0" allowOverlap="1">
            <wp:simplePos x="0" y="0"/>
            <wp:positionH relativeFrom="page">
              <wp:posOffset>2172106</wp:posOffset>
            </wp:positionH>
            <wp:positionV relativeFrom="page">
              <wp:posOffset>4734329</wp:posOffset>
            </wp:positionV>
            <wp:extent cx="471449" cy="430455"/>
            <wp:effectExtent l="0" t="0" r="0" b="0"/>
            <wp:wrapNone/>
            <wp:docPr id="6" name="IM 6"/>
            <wp:cNvGraphicFramePr/>
            <a:graphic>
              <a:graphicData uri="http://schemas.openxmlformats.org/drawingml/2006/picture">
                <pic:pic>
                  <pic:nvPicPr>
                    <pic:cNvPr id="6" name="IM 6"/>
                    <pic:cNvPicPr/>
                  </pic:nvPicPr>
                  <pic:blipFill>
                    <a:blip r:embed="rId10"/>
                    <a:stretch>
                      <a:fillRect/>
                    </a:stretch>
                  </pic:blipFill>
                  <pic:spPr>
                    <a:xfrm rot="0">
                      <a:off x="0" y="0"/>
                      <a:ext cx="471449" cy="430455"/>
                    </a:xfrm>
                    <a:prstGeom prst="rect">
                      <a:avLst/>
                    </a:prstGeom>
                  </pic:spPr>
                </pic:pic>
              </a:graphicData>
            </a:graphic>
          </wp:anchor>
        </w:drawing>
      </w:r>
      <w:r>
        <w:rPr>
          <w:rFonts w:ascii="Arial" w:hAnsi="Arial" w:eastAsia="Arial" w:cs="Arial"/>
          <w:sz w:val="16"/>
          <w:szCs w:val="16"/>
          <w:spacing w:val="-2"/>
          <w:position w:val="1"/>
        </w:rPr>
        <w:t>2022/4/27</w:t>
      </w:r>
      <w:r>
        <w:rPr>
          <w:rFonts w:ascii="Arial" w:hAnsi="Arial" w:eastAsia="Arial" w:cs="Arial"/>
          <w:sz w:val="16"/>
          <w:szCs w:val="16"/>
          <w:spacing w:val="1"/>
          <w:position w:val="1"/>
        </w:rPr>
        <w:t>                                      </w:t>
      </w:r>
      <w:r>
        <w:rPr>
          <w:rFonts w:ascii="Microsoft YaHei" w:hAnsi="Microsoft YaHei" w:eastAsia="Microsoft YaHei" w:cs="Microsoft YaHei"/>
          <w:sz w:val="16"/>
          <w:szCs w:val="16"/>
          <w:spacing w:val="-2"/>
        </w:rPr>
        <w:t>全面深化管理会计应用</w:t>
      </w:r>
      <w:r>
        <w:rPr>
          <w:rFonts w:ascii="Microsoft YaHei" w:hAnsi="Microsoft YaHei" w:eastAsia="Microsoft YaHei" w:cs="Microsoft YaHei"/>
          <w:sz w:val="16"/>
          <w:szCs w:val="16"/>
          <w:spacing w:val="10"/>
          <w:w w:val="101"/>
        </w:rPr>
        <w:t>   </w:t>
      </w:r>
      <w:r>
        <w:rPr>
          <w:rFonts w:ascii="Microsoft YaHei" w:hAnsi="Microsoft YaHei" w:eastAsia="Microsoft YaHei" w:cs="Microsoft YaHei"/>
          <w:sz w:val="16"/>
          <w:szCs w:val="16"/>
          <w:spacing w:val="-2"/>
        </w:rPr>
        <w:t>积极推动会计职能拓展</w:t>
      </w:r>
      <w:r>
        <w:rPr>
          <w:rFonts w:ascii="Arial" w:hAnsi="Arial" w:eastAsia="Arial" w:cs="Arial"/>
          <w:sz w:val="16"/>
          <w:szCs w:val="16"/>
          <w:spacing w:val="-2"/>
        </w:rPr>
        <w:t>——</w:t>
      </w:r>
      <w:r>
        <w:rPr>
          <w:rFonts w:ascii="Arial" w:hAnsi="Arial" w:eastAsia="Arial" w:cs="Arial"/>
          <w:sz w:val="16"/>
          <w:szCs w:val="16"/>
          <w:spacing w:val="34"/>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规划纲要》系列解读之九</w:t>
      </w:r>
    </w:p>
    <w:p>
      <w:pPr>
        <w:ind w:left="1044" w:right="1016" w:firstLine="2"/>
        <w:spacing w:before="135" w:line="327" w:lineRule="auto"/>
        <w:rPr>
          <w:rFonts w:ascii="SimSun" w:hAnsi="SimSun" w:eastAsia="SimSun" w:cs="SimSun"/>
          <w:sz w:val="17"/>
          <w:szCs w:val="17"/>
        </w:rPr>
      </w:pPr>
      <w:r>
        <w:rPr>
          <w:rFonts w:ascii="SimSun" w:hAnsi="SimSun" w:eastAsia="SimSun" w:cs="SimSun"/>
          <w:sz w:val="17"/>
          <w:szCs w:val="17"/>
          <w:color w:val="333333"/>
          <w:spacing w:val="-2"/>
        </w:rPr>
        <w:t>发展优势；</w:t>
      </w:r>
      <w:r>
        <w:rPr>
          <w:rFonts w:ascii="SimSun" w:hAnsi="SimSun" w:eastAsia="SimSun" w:cs="SimSun"/>
          <w:sz w:val="17"/>
          <w:szCs w:val="17"/>
          <w:color w:val="333333"/>
          <w:spacing w:val="45"/>
        </w:rPr>
        <w:t> </w:t>
      </w:r>
      <w:r>
        <w:rPr>
          <w:rFonts w:ascii="SimSun" w:hAnsi="SimSun" w:eastAsia="SimSun" w:cs="SimSun"/>
          <w:sz w:val="17"/>
          <w:szCs w:val="17"/>
          <w:color w:val="333333"/>
          <w:spacing w:val="-2"/>
        </w:rPr>
        <w:t>相关会计监管部门要结合本部门实际，探索采取各种务实举措，推动管理会计在本监管领域的应用；</w:t>
      </w:r>
      <w:r>
        <w:rPr>
          <w:rFonts w:ascii="SimSun" w:hAnsi="SimSun" w:eastAsia="SimSun" w:cs="SimSun"/>
          <w:sz w:val="17"/>
          <w:szCs w:val="17"/>
          <w:color w:val="333333"/>
          <w:spacing w:val="44"/>
          <w:w w:val="101"/>
        </w:rPr>
        <w:t> </w:t>
      </w:r>
      <w:r>
        <w:rPr>
          <w:rFonts w:ascii="SimSun" w:hAnsi="SimSun" w:eastAsia="SimSun" w:cs="SimSun"/>
          <w:sz w:val="17"/>
          <w:szCs w:val="17"/>
          <w:color w:val="333333"/>
          <w:spacing w:val="-2"/>
        </w:rPr>
        <w:t>通过广泛宣传报道</w:t>
      </w:r>
      <w:r>
        <w:rPr>
          <w:rFonts w:ascii="SimSun" w:hAnsi="SimSun" w:eastAsia="SimSun" w:cs="SimSun"/>
          <w:sz w:val="17"/>
          <w:szCs w:val="17"/>
          <w:color w:val="333333"/>
        </w:rPr>
        <w:t> </w:t>
      </w:r>
      <w:r>
        <w:rPr>
          <w:rFonts w:ascii="SimSun" w:hAnsi="SimSun" w:eastAsia="SimSun" w:cs="SimSun"/>
          <w:sz w:val="17"/>
          <w:szCs w:val="17"/>
          <w:color w:val="333333"/>
          <w:spacing w:val="1"/>
        </w:rPr>
        <w:t>和多层次、多领域培训，形成社会各界普遍认同和拥护支持的良好氛围。</w:t>
      </w:r>
    </w:p>
    <w:p>
      <w:pPr>
        <w:ind w:left="1045" w:right="1016" w:firstLine="266"/>
        <w:spacing w:before="108" w:line="327" w:lineRule="auto"/>
        <w:rPr>
          <w:rFonts w:ascii="SimSun" w:hAnsi="SimSun" w:eastAsia="SimSun" w:cs="SimSun"/>
          <w:sz w:val="17"/>
          <w:szCs w:val="17"/>
        </w:rPr>
      </w:pPr>
      <w:r>
        <w:rPr>
          <w:rFonts w:ascii="SimSun" w:hAnsi="SimSun" w:eastAsia="SimSun" w:cs="SimSun"/>
          <w:sz w:val="17"/>
          <w:szCs w:val="17"/>
          <w:color w:val="333333"/>
          <w:spacing w:val="2"/>
        </w:rPr>
        <w:t>（二）</w:t>
      </w:r>
      <w:r>
        <w:rPr>
          <w:rFonts w:ascii="SimSun" w:hAnsi="SimSun" w:eastAsia="SimSun" w:cs="SimSun"/>
          <w:sz w:val="17"/>
          <w:szCs w:val="17"/>
          <w:color w:val="333333"/>
          <w:spacing w:val="25"/>
        </w:rPr>
        <w:t> </w:t>
      </w:r>
      <w:r>
        <w:rPr>
          <w:rFonts w:ascii="SimSun" w:hAnsi="SimSun" w:eastAsia="SimSun" w:cs="SimSun"/>
          <w:sz w:val="17"/>
          <w:szCs w:val="17"/>
          <w:color w:val="333333"/>
          <w:spacing w:val="2"/>
        </w:rPr>
        <w:t>社会各界积极联动。会计理论界可探索中国特色管理会计的理论创新，并根植于实践，使管理会计在企事业单位逐步形</w:t>
      </w:r>
      <w:r>
        <w:rPr>
          <w:rFonts w:ascii="SimSun" w:hAnsi="SimSun" w:eastAsia="SimSun" w:cs="SimSun"/>
          <w:sz w:val="17"/>
          <w:szCs w:val="17"/>
          <w:color w:val="333333"/>
        </w:rPr>
        <w:t> </w:t>
      </w:r>
      <w:r>
        <w:rPr>
          <w:rFonts w:ascii="SimSun" w:hAnsi="SimSun" w:eastAsia="SimSun" w:cs="SimSun"/>
          <w:sz w:val="17"/>
          <w:szCs w:val="17"/>
          <w:color w:val="333333"/>
        </w:rPr>
        <w:t>成务实管用的实际效应；</w:t>
      </w:r>
      <w:r>
        <w:rPr>
          <w:rFonts w:ascii="SimSun" w:hAnsi="SimSun" w:eastAsia="SimSun" w:cs="SimSun"/>
          <w:sz w:val="17"/>
          <w:szCs w:val="17"/>
          <w:color w:val="333333"/>
          <w:spacing w:val="62"/>
        </w:rPr>
        <w:t> </w:t>
      </w:r>
      <w:r>
        <w:rPr>
          <w:rFonts w:ascii="SimSun" w:hAnsi="SimSun" w:eastAsia="SimSun" w:cs="SimSun"/>
          <w:sz w:val="17"/>
          <w:szCs w:val="17"/>
          <w:color w:val="333333"/>
        </w:rPr>
        <w:t>有关高等院校和科研院所要立足理论联系实际，做好管理会计理论研究，切实把实务中好的经验总结、提</w:t>
      </w:r>
      <w:r>
        <w:rPr>
          <w:rFonts w:ascii="SimSun" w:hAnsi="SimSun" w:eastAsia="SimSun" w:cs="SimSun"/>
          <w:sz w:val="17"/>
          <w:szCs w:val="17"/>
          <w:color w:val="333333"/>
        </w:rPr>
        <w:t> </w:t>
      </w:r>
      <w:r>
        <w:rPr>
          <w:rFonts w:ascii="SimSun" w:hAnsi="SimSun" w:eastAsia="SimSun" w:cs="SimSun"/>
          <w:sz w:val="17"/>
          <w:szCs w:val="17"/>
          <w:color w:val="333333"/>
          <w:spacing w:val="3"/>
        </w:rPr>
        <w:t>炼、升华出来，为我国管理会计发展提供强大理论支持；</w:t>
      </w:r>
      <w:r>
        <w:rPr>
          <w:rFonts w:ascii="SimSun" w:hAnsi="SimSun" w:eastAsia="SimSun" w:cs="SimSun"/>
          <w:sz w:val="17"/>
          <w:szCs w:val="17"/>
          <w:color w:val="333333"/>
          <w:spacing w:val="64"/>
        </w:rPr>
        <w:t> </w:t>
      </w:r>
      <w:r>
        <w:rPr>
          <w:rFonts w:ascii="SimSun" w:hAnsi="SimSun" w:eastAsia="SimSun" w:cs="SimSun"/>
          <w:sz w:val="17"/>
          <w:szCs w:val="17"/>
          <w:color w:val="333333"/>
          <w:spacing w:val="3"/>
        </w:rPr>
        <w:t>会计团体要立足行业发展，发挥在管理会计体系建设中的桥梁和纽带作</w:t>
      </w:r>
      <w:r>
        <w:rPr>
          <w:rFonts w:ascii="SimSun" w:hAnsi="SimSun" w:eastAsia="SimSun" w:cs="SimSun"/>
          <w:sz w:val="17"/>
          <w:szCs w:val="17"/>
          <w:color w:val="333333"/>
        </w:rPr>
        <w:t> </w:t>
      </w:r>
      <w:r>
        <w:rPr>
          <w:rFonts w:ascii="SimSun" w:hAnsi="SimSun" w:eastAsia="SimSun" w:cs="SimSun"/>
          <w:sz w:val="17"/>
          <w:szCs w:val="17"/>
          <w:color w:val="333333"/>
          <w:spacing w:val="3"/>
        </w:rPr>
        <w:t>用，要通过多种途径融入管理会计体系建设，通过搭建产学研平台、举办研讨会、论坛等多种形式，宣传推广管理会计；</w:t>
      </w:r>
      <w:r>
        <w:rPr>
          <w:rFonts w:ascii="SimSun" w:hAnsi="SimSun" w:eastAsia="SimSun" w:cs="SimSun"/>
          <w:sz w:val="17"/>
          <w:szCs w:val="17"/>
          <w:color w:val="333333"/>
          <w:spacing w:val="64"/>
        </w:rPr>
        <w:t> </w:t>
      </w:r>
      <w:r>
        <w:rPr>
          <w:rFonts w:ascii="SimSun" w:hAnsi="SimSun" w:eastAsia="SimSun" w:cs="SimSun"/>
          <w:sz w:val="17"/>
          <w:szCs w:val="17"/>
          <w:color w:val="333333"/>
          <w:spacing w:val="3"/>
        </w:rPr>
        <w:t>中介机</w:t>
      </w:r>
      <w:r>
        <w:rPr>
          <w:rFonts w:ascii="SimSun" w:hAnsi="SimSun" w:eastAsia="SimSun" w:cs="SimSun"/>
          <w:sz w:val="17"/>
          <w:szCs w:val="17"/>
          <w:color w:val="333333"/>
        </w:rPr>
        <w:t> </w:t>
      </w:r>
      <w:r>
        <w:rPr>
          <w:rFonts w:ascii="SimSun" w:hAnsi="SimSun" w:eastAsia="SimSun" w:cs="SimSun"/>
          <w:sz w:val="17"/>
          <w:szCs w:val="17"/>
          <w:color w:val="333333"/>
          <w:spacing w:val="2"/>
        </w:rPr>
        <w:t>构、咨询机构、软件厂商可针对企事业单位应用管理会计的短板，围绕顶层设计、工具方法、数据支撑等方面，助推管理会计切实</w:t>
      </w:r>
      <w:r>
        <w:rPr>
          <w:rFonts w:ascii="SimSun" w:hAnsi="SimSun" w:eastAsia="SimSun" w:cs="SimSun"/>
          <w:sz w:val="17"/>
          <w:szCs w:val="17"/>
          <w:color w:val="333333"/>
          <w:spacing w:val="33"/>
        </w:rPr>
        <w:t> </w:t>
      </w:r>
      <w:r>
        <w:rPr>
          <w:rFonts w:ascii="SimSun" w:hAnsi="SimSun" w:eastAsia="SimSun" w:cs="SimSun"/>
          <w:sz w:val="17"/>
          <w:szCs w:val="17"/>
          <w:color w:val="333333"/>
          <w:spacing w:val="-1"/>
        </w:rPr>
        <w:t>发挥服务企事业单位的实际效用。</w:t>
      </w:r>
    </w:p>
    <w:p>
      <w:pPr>
        <w:ind w:left="1043" w:right="1016" w:firstLine="268"/>
        <w:spacing w:before="108" w:line="327" w:lineRule="auto"/>
        <w:rPr>
          <w:rFonts w:ascii="SimSun" w:hAnsi="SimSun" w:eastAsia="SimSun" w:cs="SimSun"/>
          <w:sz w:val="17"/>
          <w:szCs w:val="17"/>
        </w:rPr>
      </w:pPr>
      <w:r>
        <w:rPr>
          <w:rFonts w:ascii="SimSun" w:hAnsi="SimSun" w:eastAsia="SimSun" w:cs="SimSun"/>
          <w:sz w:val="17"/>
          <w:szCs w:val="17"/>
          <w:color w:val="333333"/>
          <w:spacing w:val="2"/>
        </w:rPr>
        <w:t>（三）</w:t>
      </w:r>
      <w:r>
        <w:rPr>
          <w:rFonts w:ascii="SimSun" w:hAnsi="SimSun" w:eastAsia="SimSun" w:cs="SimSun"/>
          <w:sz w:val="17"/>
          <w:szCs w:val="17"/>
          <w:color w:val="333333"/>
          <w:spacing w:val="25"/>
        </w:rPr>
        <w:t> </w:t>
      </w:r>
      <w:r>
        <w:rPr>
          <w:rFonts w:ascii="SimSun" w:hAnsi="SimSun" w:eastAsia="SimSun" w:cs="SimSun"/>
          <w:sz w:val="17"/>
          <w:szCs w:val="17"/>
          <w:color w:val="333333"/>
          <w:spacing w:val="2"/>
        </w:rPr>
        <w:t>企事业单位主动行动。各单位要高度重视管理会计应用，切实把管理会计嵌入单位管理和发展战略规划，不断拓展管理</w:t>
      </w:r>
      <w:r>
        <w:rPr>
          <w:rFonts w:ascii="SimSun" w:hAnsi="SimSun" w:eastAsia="SimSun" w:cs="SimSun"/>
          <w:sz w:val="17"/>
          <w:szCs w:val="17"/>
          <w:color w:val="333333"/>
        </w:rPr>
        <w:t> </w:t>
      </w:r>
      <w:r>
        <w:rPr>
          <w:rFonts w:ascii="SimSun" w:hAnsi="SimSun" w:eastAsia="SimSun" w:cs="SimSun"/>
          <w:sz w:val="17"/>
          <w:szCs w:val="17"/>
          <w:color w:val="333333"/>
          <w:spacing w:val="1"/>
        </w:rPr>
        <w:t>会计工具方法应用范围，增强实施管理会计的自信心和内动力,为管理会计应用创造良好的内部环境；</w:t>
      </w:r>
      <w:r>
        <w:rPr>
          <w:rFonts w:ascii="SimSun" w:hAnsi="SimSun" w:eastAsia="SimSun" w:cs="SimSun"/>
          <w:sz w:val="17"/>
          <w:szCs w:val="17"/>
          <w:color w:val="333333"/>
          <w:spacing w:val="92"/>
        </w:rPr>
        <w:t> </w:t>
      </w:r>
      <w:r>
        <w:rPr>
          <w:rFonts w:ascii="SimSun" w:hAnsi="SimSun" w:eastAsia="SimSun" w:cs="SimSun"/>
          <w:sz w:val="17"/>
          <w:szCs w:val="17"/>
          <w:color w:val="333333"/>
          <w:spacing w:val="1"/>
        </w:rPr>
        <w:t>制定贴合单位实际、务实管</w:t>
      </w:r>
      <w:r>
        <w:rPr>
          <w:rFonts w:ascii="SimSun" w:hAnsi="SimSun" w:eastAsia="SimSun" w:cs="SimSun"/>
          <w:sz w:val="17"/>
          <w:szCs w:val="17"/>
          <w:color w:val="333333"/>
        </w:rPr>
        <w:t> </w:t>
      </w:r>
      <w:r>
        <w:rPr>
          <w:rFonts w:ascii="SimSun" w:hAnsi="SimSun" w:eastAsia="SimSun" w:cs="SimSun"/>
          <w:sz w:val="17"/>
          <w:szCs w:val="17"/>
          <w:color w:val="333333"/>
        </w:rPr>
        <w:t>用的指导思想和行动计划，在单位上下统一思想、形成共识，加强机构设置、职能岗位和人员配备；</w:t>
      </w:r>
      <w:r>
        <w:rPr>
          <w:rFonts w:ascii="SimSun" w:hAnsi="SimSun" w:eastAsia="SimSun" w:cs="SimSun"/>
          <w:sz w:val="17"/>
          <w:szCs w:val="17"/>
          <w:color w:val="333333"/>
          <w:spacing w:val="64"/>
        </w:rPr>
        <w:t> </w:t>
      </w:r>
      <w:r>
        <w:rPr>
          <w:rFonts w:ascii="SimSun" w:hAnsi="SimSun" w:eastAsia="SimSun" w:cs="SimSun"/>
          <w:sz w:val="17"/>
          <w:szCs w:val="17"/>
          <w:color w:val="333333"/>
        </w:rPr>
        <w:t>同时，大力提升管理会计的信</w:t>
      </w:r>
      <w:r>
        <w:rPr>
          <w:rFonts w:ascii="SimSun" w:hAnsi="SimSun" w:eastAsia="SimSun" w:cs="SimSun"/>
          <w:sz w:val="17"/>
          <w:szCs w:val="17"/>
          <w:color w:val="333333"/>
        </w:rPr>
        <w:t> </w:t>
      </w:r>
      <w:r>
        <w:rPr>
          <w:rFonts w:ascii="SimSun" w:hAnsi="SimSun" w:eastAsia="SimSun" w:cs="SimSun"/>
          <w:sz w:val="17"/>
          <w:szCs w:val="17"/>
          <w:color w:val="333333"/>
        </w:rPr>
        <w:t>息系统建设，推动管理会计功能的发挥，切实提升单位价值创造能力；</w:t>
      </w:r>
      <w:r>
        <w:rPr>
          <w:rFonts w:ascii="SimSun" w:hAnsi="SimSun" w:eastAsia="SimSun" w:cs="SimSun"/>
          <w:sz w:val="17"/>
          <w:szCs w:val="17"/>
          <w:color w:val="333333"/>
          <w:spacing w:val="64"/>
        </w:rPr>
        <w:t> </w:t>
      </w:r>
      <w:r>
        <w:rPr>
          <w:rFonts w:ascii="SimSun" w:hAnsi="SimSun" w:eastAsia="SimSun" w:cs="SimSun"/>
          <w:sz w:val="17"/>
          <w:szCs w:val="17"/>
          <w:color w:val="333333"/>
        </w:rPr>
        <w:t>广大会计人员要立足业务岗位，不断学习管理会计新理论、</w:t>
      </w:r>
      <w:r>
        <w:rPr>
          <w:rFonts w:ascii="SimSun" w:hAnsi="SimSun" w:eastAsia="SimSun" w:cs="SimSun"/>
          <w:sz w:val="17"/>
          <w:szCs w:val="17"/>
          <w:color w:val="333333"/>
        </w:rPr>
        <w:t> </w:t>
      </w:r>
      <w:r>
        <w:rPr>
          <w:rFonts w:ascii="SimSun" w:hAnsi="SimSun" w:eastAsia="SimSun" w:cs="SimSun"/>
          <w:sz w:val="17"/>
          <w:szCs w:val="17"/>
          <w:color w:val="333333"/>
          <w:spacing w:val="1"/>
        </w:rPr>
        <w:t>新知识，在实务中进行创新应用，提升管理会计专业技术水平。</w:t>
      </w:r>
    </w:p>
    <w:p>
      <w:pPr>
        <w:spacing w:line="73" w:lineRule="exact"/>
        <w:rPr/>
      </w:pPr>
      <w:r/>
    </w:p>
    <w:p>
      <w:pPr>
        <w:sectPr>
          <w:pgSz w:w="11900" w:h="16839"/>
          <w:pgMar w:top="0" w:right="0" w:bottom="0" w:left="0" w:header="0" w:footer="0" w:gutter="0"/>
          <w:cols w:equalWidth="0" w:num="1">
            <w:col w:w="11900" w:space="0"/>
          </w:cols>
        </w:sectPr>
        <w:rPr/>
      </w:pPr>
    </w:p>
    <w:p>
      <w:pPr>
        <w:ind w:firstLine="1039"/>
        <w:spacing w:before="35" w:line="180" w:lineRule="auto"/>
        <w:rPr>
          <w:rFonts w:ascii="Microsoft YaHei" w:hAnsi="Microsoft YaHei" w:eastAsia="Microsoft YaHei" w:cs="Microsoft YaHei"/>
          <w:sz w:val="17"/>
          <w:szCs w:val="17"/>
        </w:rPr>
      </w:pPr>
      <w:r>
        <w:rPr>
          <w:rFonts w:ascii="Microsoft YaHei" w:hAnsi="Microsoft YaHei" w:eastAsia="Microsoft YaHei" w:cs="Microsoft YaHei"/>
          <w:sz w:val="17"/>
          <w:szCs w:val="17"/>
          <w:color w:val="333333"/>
          <w:spacing w:val="1"/>
        </w:rPr>
        <w:t>相关文章:</w:t>
      </w:r>
    </w:p>
    <w:p>
      <w:pPr>
        <w:ind w:firstLine="1040"/>
        <w:spacing w:before="165" w:line="188" w:lineRule="auto"/>
        <w:rPr>
          <w:rFonts w:ascii="Microsoft YaHei" w:hAnsi="Microsoft YaHei" w:eastAsia="Microsoft YaHei" w:cs="Microsoft YaHei"/>
          <w:sz w:val="16"/>
          <w:szCs w:val="16"/>
        </w:rPr>
      </w:pPr>
      <w:hyperlink w:history="true" r:id="rId11">
        <w:r>
          <w:rPr>
            <w:rFonts w:ascii="Microsoft YaHei" w:hAnsi="Microsoft YaHei" w:eastAsia="Microsoft YaHei" w:cs="Microsoft YaHei"/>
            <w:sz w:val="16"/>
            <w:szCs w:val="16"/>
            <w:color w:val="2B50A8"/>
            <w:spacing w:val="1"/>
          </w:rPr>
          <w:t>关于印发《会计改革与发展“十四五”规划纲要》的通知</w:t>
        </w:r>
      </w:hyperlink>
    </w:p>
    <w:p>
      <w:pPr>
        <w:ind w:firstLine="1039"/>
        <w:spacing w:before="281" w:line="180"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333333"/>
          <w:spacing w:val="-1"/>
        </w:rPr>
        <w:t>发布日期:</w:t>
      </w:r>
      <w:r>
        <w:rPr>
          <w:rFonts w:ascii="Microsoft YaHei" w:hAnsi="Microsoft YaHei" w:eastAsia="Microsoft YaHei" w:cs="Microsoft YaHei"/>
          <w:sz w:val="15"/>
          <w:szCs w:val="15"/>
          <w:color w:val="333333"/>
          <w:spacing w:val="10"/>
          <w:w w:val="102"/>
        </w:rPr>
        <w:t>  </w:t>
      </w:r>
      <w:r>
        <w:rPr>
          <w:rFonts w:ascii="Microsoft YaHei" w:hAnsi="Microsoft YaHei" w:eastAsia="Microsoft YaHei" w:cs="Microsoft YaHei"/>
          <w:sz w:val="15"/>
          <w:szCs w:val="15"/>
          <w:color w:val="333333"/>
          <w:spacing w:val="-1"/>
        </w:rPr>
        <w:t>2022年04月01日</w:t>
      </w:r>
    </w:p>
    <w:p>
      <w:pPr>
        <w:rPr/>
      </w:pPr>
      <w:r/>
    </w:p>
    <w:p>
      <w:pPr>
        <w:spacing w:line="216" w:lineRule="exact"/>
        <w:rPr/>
      </w:pPr>
      <w:r/>
    </w:p>
    <w:p>
      <w:pPr>
        <w:spacing w:line="14" w:lineRule="auto"/>
        <w:rPr>
          <w:rFonts w:ascii="SimSun"/>
          <w:sz w:val="2"/>
        </w:rPr>
      </w:pPr>
      <w:r>
        <w:rPr>
          <w:rFonts w:ascii="SimSun" w:hAnsi="SimSun" w:eastAsia="SimSun" w:cs="SimSun"/>
          <w:sz w:val="2"/>
          <w:szCs w:val="2"/>
        </w:rPr>
        <w:br w:type="column"/>
      </w:r>
    </w:p>
    <w:p>
      <w:pPr>
        <w:spacing w:line="260" w:lineRule="auto"/>
        <w:rPr>
          <w:rFonts w:ascii="SimSun"/>
          <w:sz w:val="21"/>
        </w:rPr>
      </w:pPr>
      <w:r/>
    </w:p>
    <w:p>
      <w:pPr>
        <w:spacing w:line="261" w:lineRule="auto"/>
        <w:rPr>
          <w:rFonts w:ascii="SimSun"/>
          <w:sz w:val="21"/>
        </w:rPr>
      </w:pPr>
      <w:r/>
    </w:p>
    <w:p>
      <w:pPr>
        <w:spacing w:line="261" w:lineRule="auto"/>
        <w:rPr>
          <w:rFonts w:ascii="SimSun"/>
          <w:sz w:val="21"/>
        </w:rPr>
      </w:pPr>
      <w:r/>
    </w:p>
    <w:p>
      <w:pPr>
        <w:ind w:firstLine="2032"/>
        <w:spacing w:before="1" w:line="280" w:lineRule="exact"/>
        <w:textAlignment w:val="center"/>
        <w:rPr/>
      </w:pPr>
      <w:r>
        <w:drawing>
          <wp:inline distT="0" distB="0" distL="0" distR="0">
            <wp:extent cx="177647" cy="177647"/>
            <wp:effectExtent l="0" t="0" r="0" b="0"/>
            <wp:docPr id="7" name="IM 7"/>
            <wp:cNvGraphicFramePr/>
            <a:graphic>
              <a:graphicData uri="http://schemas.openxmlformats.org/drawingml/2006/picture">
                <pic:pic>
                  <pic:nvPicPr>
                    <pic:cNvPr id="7" name="IM 7"/>
                    <pic:cNvPicPr/>
                  </pic:nvPicPr>
                  <pic:blipFill>
                    <a:blip r:embed="rId12"/>
                    <a:stretch>
                      <a:fillRect/>
                    </a:stretch>
                  </pic:blipFill>
                  <pic:spPr>
                    <a:xfrm rot="0">
                      <a:off x="0" y="0"/>
                      <a:ext cx="177647" cy="177647"/>
                    </a:xfrm>
                    <a:prstGeom prst="rect">
                      <a:avLst/>
                    </a:prstGeom>
                  </pic:spPr>
                </pic:pic>
              </a:graphicData>
            </a:graphic>
          </wp:inline>
        </w:drawing>
      </w:r>
    </w:p>
    <w:p>
      <w:pPr>
        <w:ind w:firstLine="1580"/>
        <w:spacing w:before="199" w:line="194"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333333"/>
          <w:spacing w:val="-9"/>
        </w:rPr>
        <w:t>【</w:t>
      </w:r>
      <w:r>
        <w:rPr>
          <w:rFonts w:ascii="Microsoft YaHei" w:hAnsi="Microsoft YaHei" w:eastAsia="Microsoft YaHei" w:cs="Microsoft YaHei"/>
          <w:sz w:val="14"/>
          <w:szCs w:val="14"/>
          <w:color w:val="333333"/>
          <w:spacing w:val="-6"/>
        </w:rPr>
        <w:t> </w:t>
      </w:r>
      <w:r>
        <w:rPr>
          <w:rFonts w:ascii="Microsoft YaHei" w:hAnsi="Microsoft YaHei" w:eastAsia="Microsoft YaHei" w:cs="Microsoft YaHei"/>
          <w:sz w:val="12"/>
          <w:szCs w:val="12"/>
          <w:color w:val="333333"/>
          <w:spacing w:val="-9"/>
        </w:rPr>
        <w:t>大</w:t>
      </w:r>
      <w:r>
        <w:rPr>
          <w:rFonts w:ascii="Microsoft YaHei" w:hAnsi="Microsoft YaHei" w:eastAsia="Microsoft YaHei" w:cs="Microsoft YaHei"/>
          <w:sz w:val="12"/>
          <w:szCs w:val="12"/>
          <w:color w:val="333333"/>
          <w:spacing w:val="9"/>
          <w:w w:val="101"/>
        </w:rPr>
        <w:t> </w:t>
      </w:r>
      <w:r>
        <w:rPr>
          <w:rFonts w:ascii="Microsoft YaHei" w:hAnsi="Microsoft YaHei" w:eastAsia="Microsoft YaHei" w:cs="Microsoft YaHei"/>
          <w:sz w:val="12"/>
          <w:szCs w:val="12"/>
          <w:color w:val="333333"/>
          <w:spacing w:val="-9"/>
        </w:rPr>
        <w:t>中</w:t>
      </w:r>
      <w:r>
        <w:rPr>
          <w:rFonts w:ascii="Microsoft YaHei" w:hAnsi="Microsoft YaHei" w:eastAsia="Microsoft YaHei" w:cs="Microsoft YaHei"/>
          <w:sz w:val="12"/>
          <w:szCs w:val="12"/>
          <w:color w:val="333333"/>
          <w:spacing w:val="1"/>
          <w:w w:val="101"/>
        </w:rPr>
        <w:t> </w:t>
      </w:r>
      <w:r>
        <w:rPr>
          <w:rFonts w:ascii="Microsoft YaHei" w:hAnsi="Microsoft YaHei" w:eastAsia="Microsoft YaHei" w:cs="Microsoft YaHei"/>
          <w:sz w:val="12"/>
          <w:szCs w:val="12"/>
          <w:color w:val="333333"/>
          <w:spacing w:val="-9"/>
        </w:rPr>
        <w:t>小</w:t>
      </w:r>
      <w:r>
        <w:rPr>
          <w:rFonts w:ascii="Microsoft YaHei" w:hAnsi="Microsoft YaHei" w:eastAsia="Microsoft YaHei" w:cs="Microsoft YaHei"/>
          <w:sz w:val="12"/>
          <w:szCs w:val="12"/>
          <w:color w:val="333333"/>
          <w:spacing w:val="-2"/>
        </w:rPr>
        <w:t> </w:t>
      </w:r>
      <w:r>
        <w:rPr>
          <w:rFonts w:ascii="Microsoft YaHei" w:hAnsi="Microsoft YaHei" w:eastAsia="Microsoft YaHei" w:cs="Microsoft YaHei"/>
          <w:sz w:val="14"/>
          <w:szCs w:val="14"/>
          <w:color w:val="333333"/>
          <w:spacing w:val="-9"/>
        </w:rPr>
        <w:t>】</w:t>
      </w:r>
    </w:p>
    <w:p>
      <w:pPr>
        <w:spacing w:line="14" w:lineRule="auto"/>
        <w:rPr>
          <w:rFonts w:ascii="SimSun"/>
          <w:sz w:val="2"/>
        </w:rPr>
      </w:pPr>
      <w:r>
        <w:rPr>
          <w:rFonts w:ascii="SimSun" w:hAnsi="SimSun" w:eastAsia="SimSun" w:cs="SimSun"/>
          <w:sz w:val="2"/>
          <w:szCs w:val="2"/>
        </w:rPr>
        <w:br w:type="column"/>
      </w:r>
    </w:p>
    <w:p>
      <w:pPr>
        <w:spacing w:line="260" w:lineRule="auto"/>
        <w:rPr>
          <w:rFonts w:ascii="SimSun"/>
          <w:sz w:val="21"/>
        </w:rPr>
      </w:pPr>
      <w:r/>
    </w:p>
    <w:p>
      <w:pPr>
        <w:spacing w:line="261" w:lineRule="auto"/>
        <w:rPr>
          <w:rFonts w:ascii="SimSun"/>
          <w:sz w:val="21"/>
        </w:rPr>
      </w:pPr>
      <w:r/>
    </w:p>
    <w:p>
      <w:pPr>
        <w:spacing w:line="261" w:lineRule="auto"/>
        <w:rPr>
          <w:rFonts w:ascii="SimSun"/>
          <w:sz w:val="21"/>
        </w:rPr>
      </w:pPr>
      <w:r/>
    </w:p>
    <w:p>
      <w:pPr>
        <w:spacing w:before="1" w:line="280" w:lineRule="exact"/>
        <w:textAlignment w:val="center"/>
        <w:rPr/>
      </w:pPr>
      <w:r>
        <w:drawing>
          <wp:inline distT="0" distB="0" distL="0" distR="0">
            <wp:extent cx="177647" cy="177647"/>
            <wp:effectExtent l="0" t="0" r="0" b="0"/>
            <wp:docPr id="8" name="IM 8"/>
            <wp:cNvGraphicFramePr/>
            <a:graphic>
              <a:graphicData uri="http://schemas.openxmlformats.org/drawingml/2006/picture">
                <pic:pic>
                  <pic:nvPicPr>
                    <pic:cNvPr id="8" name="IM 8"/>
                    <pic:cNvPicPr/>
                  </pic:nvPicPr>
                  <pic:blipFill>
                    <a:blip r:embed="rId13"/>
                    <a:stretch>
                      <a:fillRect/>
                    </a:stretch>
                  </pic:blipFill>
                  <pic:spPr>
                    <a:xfrm rot="0">
                      <a:off x="0" y="0"/>
                      <a:ext cx="177647" cy="177647"/>
                    </a:xfrm>
                    <a:prstGeom prst="rect">
                      <a:avLst/>
                    </a:prstGeom>
                  </pic:spPr>
                </pic:pic>
              </a:graphicData>
            </a:graphic>
          </wp:inline>
        </w:drawing>
      </w:r>
    </w:p>
    <w:p>
      <w:pPr>
        <w:ind w:firstLine="108"/>
        <w:spacing w:before="215" w:line="185" w:lineRule="auto"/>
        <w:rPr>
          <w:rFonts w:ascii="Microsoft YaHei" w:hAnsi="Microsoft YaHei" w:eastAsia="Microsoft YaHei" w:cs="Microsoft YaHei"/>
          <w:sz w:val="13"/>
          <w:szCs w:val="13"/>
        </w:rPr>
      </w:pPr>
      <w:hyperlink w:history="true" r:id="rId14">
        <w:r>
          <w:rPr>
            <w:rFonts w:ascii="Microsoft YaHei" w:hAnsi="Microsoft YaHei" w:eastAsia="Microsoft YaHei" w:cs="Microsoft YaHei"/>
            <w:sz w:val="13"/>
            <w:szCs w:val="13"/>
            <w:color w:val="007DC1"/>
            <w:spacing w:val="-4"/>
          </w:rPr>
          <w:t>【打印此页】</w:t>
        </w:r>
      </w:hyperlink>
    </w:p>
    <w:p>
      <w:pPr>
        <w:spacing w:line="14" w:lineRule="auto"/>
        <w:rPr>
          <w:rFonts w:ascii="SimSun"/>
          <w:sz w:val="2"/>
        </w:rPr>
      </w:pPr>
      <w:r>
        <w:rPr>
          <w:rFonts w:ascii="SimSun" w:hAnsi="SimSun" w:eastAsia="SimSun" w:cs="SimSun"/>
          <w:sz w:val="2"/>
          <w:szCs w:val="2"/>
        </w:rPr>
        <w:br w:type="column"/>
      </w:r>
    </w:p>
    <w:p>
      <w:pPr>
        <w:spacing w:line="292" w:lineRule="auto"/>
        <w:rPr>
          <w:rFonts w:ascii="SimSun"/>
          <w:sz w:val="21"/>
        </w:rPr>
      </w:pPr>
      <w:r/>
    </w:p>
    <w:p>
      <w:pPr>
        <w:spacing w:line="292" w:lineRule="auto"/>
        <w:rPr>
          <w:rFonts w:ascii="SimSun"/>
          <w:sz w:val="21"/>
        </w:rPr>
      </w:pPr>
      <w:r/>
    </w:p>
    <w:p>
      <w:pPr>
        <w:spacing w:line="292" w:lineRule="auto"/>
        <w:rPr>
          <w:rFonts w:ascii="SimSun"/>
          <w:sz w:val="21"/>
        </w:rPr>
      </w:pPr>
      <w:r/>
    </w:p>
    <w:p>
      <w:pPr>
        <w:spacing w:line="293" w:lineRule="auto"/>
        <w:rPr>
          <w:rFonts w:ascii="SimSun"/>
          <w:sz w:val="21"/>
        </w:rPr>
      </w:pPr>
      <w:r/>
    </w:p>
    <w:p>
      <w:pPr>
        <w:ind w:firstLine="2"/>
        <w:spacing w:before="56" w:line="185" w:lineRule="auto"/>
        <w:rPr>
          <w:rFonts w:ascii="Microsoft YaHei" w:hAnsi="Microsoft YaHei" w:eastAsia="Microsoft YaHei" w:cs="Microsoft YaHei"/>
          <w:sz w:val="13"/>
          <w:szCs w:val="13"/>
        </w:rPr>
      </w:pPr>
      <w:hyperlink w:history="true" r:id="rId15">
        <w:r>
          <w:rPr>
            <w:rFonts w:ascii="Microsoft YaHei" w:hAnsi="Microsoft YaHei" w:eastAsia="Microsoft YaHei" w:cs="Microsoft YaHei"/>
            <w:sz w:val="13"/>
            <w:szCs w:val="13"/>
            <w:color w:val="333333"/>
            <w:spacing w:val="-3"/>
          </w:rPr>
          <w:t>【关闭窗口】</w:t>
        </w:r>
      </w:hyperlink>
    </w:p>
    <w:p>
      <w:pPr>
        <w:sectPr>
          <w:type w:val="continuous"/>
          <w:pgSz w:w="11900" w:h="16839"/>
          <w:pgMar w:top="0" w:right="0" w:bottom="0" w:left="0" w:header="0" w:footer="0" w:gutter="0"/>
          <w:cols w:equalWidth="0" w:num="4">
            <w:col w:w="6733" w:space="100"/>
            <w:col w:w="2327" w:space="28"/>
            <w:col w:w="872" w:space="53"/>
            <w:col w:w="1786" w:space="0"/>
          </w:cols>
        </w:sectPr>
        <w:rPr/>
      </w:pPr>
    </w:p>
    <w:p>
      <w:pPr>
        <w:rPr/>
      </w:pPr>
      <w:r/>
    </w:p>
    <w:p>
      <w:pPr>
        <w:rPr/>
      </w:pPr>
      <w:r/>
    </w:p>
    <w:p>
      <w:pPr>
        <w:spacing w:line="71" w:lineRule="exact"/>
        <w:rPr/>
      </w:pPr>
      <w:r/>
    </w:p>
    <w:p>
      <w:pPr>
        <w:sectPr>
          <w:type w:val="continuous"/>
          <w:pgSz w:w="11900" w:h="16839"/>
          <w:pgMar w:top="0" w:right="0" w:bottom="0" w:left="0" w:header="0" w:footer="0" w:gutter="0"/>
          <w:cols w:equalWidth="0" w:num="1">
            <w:col w:w="11900" w:space="0"/>
          </w:cols>
        </w:sectPr>
        <w:rPr/>
      </w:pPr>
    </w:p>
    <w:p>
      <w:pPr>
        <w:ind w:firstLine="6215"/>
        <w:spacing w:before="43" w:line="188" w:lineRule="auto"/>
        <w:rPr>
          <w:rFonts w:ascii="Microsoft YaHei" w:hAnsi="Microsoft YaHei" w:eastAsia="Microsoft YaHei" w:cs="Microsoft YaHei"/>
          <w:sz w:val="16"/>
          <w:szCs w:val="16"/>
        </w:rPr>
      </w:pPr>
      <w:hyperlink w:history="true" r:id="rId16">
        <w:r>
          <w:rPr>
            <w:rFonts w:ascii="Microsoft YaHei" w:hAnsi="Microsoft YaHei" w:eastAsia="Microsoft YaHei" w:cs="Microsoft YaHei"/>
            <w:sz w:val="16"/>
            <w:szCs w:val="16"/>
            <w:color w:val="222222"/>
            <w:spacing w:val="-2"/>
          </w:rPr>
          <w:t>网站地图</w:t>
        </w:r>
      </w:hyperlink>
    </w:p>
    <w:p>
      <w:pPr>
        <w:spacing w:line="14" w:lineRule="auto"/>
        <w:rPr>
          <w:rFonts w:ascii="SimSun"/>
          <w:sz w:val="2"/>
        </w:rPr>
      </w:pPr>
      <w:r>
        <w:rPr>
          <w:rFonts w:ascii="SimSun" w:hAnsi="SimSun" w:eastAsia="SimSun" w:cs="SimSun"/>
          <w:sz w:val="2"/>
          <w:szCs w:val="2"/>
        </w:rPr>
        <w:br w:type="column"/>
      </w:r>
    </w:p>
    <w:p>
      <w:pPr>
        <w:ind w:firstLine="98"/>
        <w:spacing w:before="63" w:line="172" w:lineRule="exact"/>
        <w:textAlignment w:val="center"/>
        <w:rPr/>
      </w:pPr>
      <w:r>
        <w:drawing>
          <wp:inline distT="0" distB="0" distL="0" distR="0">
            <wp:extent cx="6832" cy="109321"/>
            <wp:effectExtent l="0" t="0" r="0" b="0"/>
            <wp:docPr id="9" name="IM 9"/>
            <wp:cNvGraphicFramePr/>
            <a:graphic>
              <a:graphicData uri="http://schemas.openxmlformats.org/drawingml/2006/picture">
                <pic:pic>
                  <pic:nvPicPr>
                    <pic:cNvPr id="9" name="IM 9"/>
                    <pic:cNvPicPr/>
                  </pic:nvPicPr>
                  <pic:blipFill>
                    <a:blip r:embed="rId17"/>
                    <a:stretch>
                      <a:fillRect/>
                    </a:stretch>
                  </pic:blipFill>
                  <pic:spPr>
                    <a:xfrm rot="0">
                      <a:off x="0" y="0"/>
                      <a:ext cx="6832" cy="109321"/>
                    </a:xfrm>
                    <a:prstGeom prst="rect">
                      <a:avLst/>
                    </a:prstGeom>
                  </pic:spPr>
                </pic:pic>
              </a:graphicData>
            </a:graphic>
          </wp:inline>
        </w:drawing>
      </w:r>
    </w:p>
    <w:p>
      <w:pPr>
        <w:spacing w:line="14" w:lineRule="auto"/>
        <w:rPr>
          <w:rFonts w:ascii="SimSun"/>
          <w:sz w:val="2"/>
        </w:rPr>
      </w:pPr>
      <w:r>
        <w:rPr>
          <w:rFonts w:ascii="SimSun" w:hAnsi="SimSun" w:eastAsia="SimSun" w:cs="SimSun"/>
          <w:sz w:val="2"/>
          <w:szCs w:val="2"/>
        </w:rPr>
        <w:br w:type="column"/>
      </w:r>
    </w:p>
    <w:p>
      <w:pPr>
        <w:ind w:firstLine="72"/>
        <w:spacing w:before="41" w:line="188" w:lineRule="auto"/>
        <w:rPr>
          <w:rFonts w:ascii="Microsoft YaHei" w:hAnsi="Microsoft YaHei" w:eastAsia="Microsoft YaHei" w:cs="Microsoft YaHei"/>
          <w:sz w:val="16"/>
          <w:szCs w:val="16"/>
        </w:rPr>
      </w:pPr>
      <w:hyperlink w:history="true" r:id="rId18">
        <w:r>
          <w:rPr>
            <w:rFonts w:ascii="Microsoft YaHei" w:hAnsi="Microsoft YaHei" w:eastAsia="Microsoft YaHei" w:cs="Microsoft YaHei"/>
            <w:sz w:val="16"/>
            <w:szCs w:val="16"/>
            <w:color w:val="222222"/>
          </w:rPr>
          <w:t>联系我们</w:t>
        </w:r>
      </w:hyperlink>
    </w:p>
    <w:p>
      <w:pPr>
        <w:sectPr>
          <w:type w:val="continuous"/>
          <w:pgSz w:w="11900" w:h="16839"/>
          <w:pgMar w:top="0" w:right="0" w:bottom="0" w:left="0" w:header="0" w:footer="0" w:gutter="0"/>
          <w:cols w:equalWidth="0" w:num="3">
            <w:col w:w="6946" w:space="100"/>
            <w:col w:w="181" w:space="100"/>
            <w:col w:w="4573" w:space="0"/>
          </w:cols>
        </w:sectPr>
        <w:rPr/>
      </w:pPr>
    </w:p>
    <w:p>
      <w:pPr>
        <w:ind w:firstLine="6076"/>
        <w:spacing w:before="214"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spacing w:val="-1"/>
        </w:rPr>
        <w:t>主办单位：中华人民共和国财政部</w:t>
      </w:r>
    </w:p>
    <w:p>
      <w:pPr>
        <w:ind w:firstLine="4402"/>
        <w:spacing w:before="47" w:line="22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rPr>
        <w:t>网站标识码：bm14000001</w:t>
      </w:r>
      <w:r>
        <w:rPr>
          <w:rFonts w:ascii="Microsoft YaHei" w:hAnsi="Microsoft YaHei" w:eastAsia="Microsoft YaHei" w:cs="Microsoft YaHei"/>
          <w:sz w:val="14"/>
          <w:szCs w:val="14"/>
          <w:color w:val="222222"/>
          <w:spacing w:val="62"/>
        </w:rPr>
        <w:t> </w:t>
      </w:r>
      <w:hyperlink w:history="true" r:id="rId19">
        <w:r>
          <w:rPr>
            <w:rFonts w:ascii="Microsoft YaHei" w:hAnsi="Microsoft YaHei" w:eastAsia="Microsoft YaHei" w:cs="Microsoft YaHei"/>
            <w:sz w:val="14"/>
            <w:szCs w:val="14"/>
            <w:color w:val="222222"/>
          </w:rPr>
          <w:t>京ICP备05002860号</w:t>
        </w:r>
      </w:hyperlink>
      <w:r>
        <w:rPr>
          <w:rFonts w:ascii="Microsoft YaHei" w:hAnsi="Microsoft YaHei" w:eastAsia="Microsoft YaHei" w:cs="Microsoft YaHei"/>
          <w:sz w:val="14"/>
          <w:szCs w:val="14"/>
          <w:color w:val="222222"/>
          <w:spacing w:val="20"/>
          <w:w w:val="101"/>
        </w:rPr>
        <w:t>  </w:t>
      </w:r>
      <w:hyperlink w:history="true" r:id="rId20">
        <w:r>
          <w:rPr>
            <w:sz w:val="14"/>
            <w:szCs w:val="14"/>
            <w:position w:val="-7"/>
          </w:rPr>
          <w:drawing>
            <wp:inline distT="0" distB="0" distL="0" distR="0">
              <wp:extent cx="136652" cy="136652"/>
              <wp:effectExtent l="0" t="0" r="0" b="0"/>
              <wp:docPr id="10" name="IM 10"/>
              <wp:cNvGraphicFramePr/>
              <a:graphic>
                <a:graphicData uri="http://schemas.openxmlformats.org/drawingml/2006/picture">
                  <pic:pic>
                    <pic:nvPicPr>
                      <pic:cNvPr id="10" name="IM 10"/>
                      <pic:cNvPicPr/>
                    </pic:nvPicPr>
                    <pic:blipFill>
                      <a:blip r:embed="rId21"/>
                      <a:stretch>
                        <a:fillRect/>
                      </a:stretch>
                    </pic:blipFill>
                    <pic:spPr>
                      <a:xfrm rot="0">
                        <a:off x="0" y="0"/>
                        <a:ext cx="136652" cy="136652"/>
                      </a:xfrm>
                      <a:prstGeom prst="rect">
                        <a:avLst/>
                      </a:prstGeom>
                    </pic:spPr>
                  </pic:pic>
                </a:graphicData>
              </a:graphic>
            </wp:inline>
          </w:drawing>
        </w:r>
        <w:r>
          <w:rPr>
            <w:rFonts w:ascii="Microsoft YaHei" w:hAnsi="Microsoft YaHei" w:eastAsia="Microsoft YaHei" w:cs="Microsoft YaHei"/>
            <w:sz w:val="14"/>
            <w:szCs w:val="14"/>
            <w:color w:val="222222"/>
            <w:spacing w:val="-37"/>
          </w:rPr>
          <w:t> </w:t>
        </w:r>
        <w:r>
          <w:rPr>
            <w:rFonts w:ascii="Microsoft YaHei" w:hAnsi="Microsoft YaHei" w:eastAsia="Microsoft YaHei" w:cs="Microsoft YaHei"/>
            <w:sz w:val="14"/>
            <w:szCs w:val="14"/>
            <w:color w:val="222222"/>
          </w:rPr>
          <w:t>京公网安备11010202000006号</w:t>
        </w:r>
      </w:hyperlink>
    </w:p>
    <w:p>
      <w:pPr>
        <w:ind w:firstLine="6144"/>
        <w:spacing w:before="64"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spacing w:val="-1"/>
        </w:rPr>
        <w:t>技术支持：财政部信息网络中心</w:t>
      </w:r>
    </w:p>
    <w:p>
      <w:pPr>
        <w:ind w:firstLine="5343"/>
        <w:spacing w:before="78"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spacing w:val="-1"/>
        </w:rPr>
        <w:t>中华人民共和国财政部</w:t>
      </w:r>
      <w:r>
        <w:rPr>
          <w:rFonts w:ascii="Microsoft YaHei" w:hAnsi="Microsoft YaHei" w:eastAsia="Microsoft YaHei" w:cs="Microsoft YaHei"/>
          <w:sz w:val="14"/>
          <w:szCs w:val="14"/>
          <w:color w:val="222222"/>
          <w:spacing w:val="5"/>
        </w:rPr>
        <w:t>  </w:t>
      </w:r>
      <w:r>
        <w:rPr>
          <w:rFonts w:ascii="Microsoft YaHei" w:hAnsi="Microsoft YaHei" w:eastAsia="Microsoft YaHei" w:cs="Microsoft YaHei"/>
          <w:sz w:val="14"/>
          <w:szCs w:val="14"/>
          <w:color w:val="222222"/>
          <w:spacing w:val="-1"/>
        </w:rPr>
        <w:t>版权所有，如需转载，请注明来源</w:t>
      </w:r>
    </w:p>
    <w:p>
      <w:pPr>
        <w:spacing w:line="247" w:lineRule="auto"/>
        <w:rPr>
          <w:rFonts w:ascii="SimSun"/>
          <w:sz w:val="21"/>
        </w:rPr>
      </w:pPr>
      <w:r/>
    </w:p>
    <w:p>
      <w:pPr>
        <w:spacing w:line="247" w:lineRule="auto"/>
        <w:rPr>
          <w:rFonts w:ascii="SimSun"/>
          <w:sz w:val="21"/>
        </w:rPr>
      </w:pPr>
      <w:r/>
    </w:p>
    <w:p>
      <w:pPr>
        <w:spacing w:line="247" w:lineRule="auto"/>
        <w:rPr>
          <w:rFonts w:ascii="SimSun"/>
          <w:sz w:val="21"/>
        </w:rPr>
      </w:pPr>
      <w:r/>
    </w:p>
    <w:p>
      <w:pPr>
        <w:spacing w:line="247" w:lineRule="auto"/>
        <w:rPr>
          <w:rFonts w:ascii="SimSun"/>
          <w:sz w:val="21"/>
        </w:rPr>
      </w:pPr>
      <w:r/>
    </w:p>
    <w:p>
      <w:pPr>
        <w:spacing w:line="247" w:lineRule="auto"/>
        <w:rPr>
          <w:rFonts w:ascii="SimSun"/>
          <w:sz w:val="21"/>
        </w:rPr>
      </w:pPr>
      <w:r/>
    </w:p>
    <w:p>
      <w:pPr>
        <w:spacing w:line="247" w:lineRule="auto"/>
        <w:rPr>
          <w:rFonts w:ascii="SimSun"/>
          <w:sz w:val="21"/>
        </w:rPr>
      </w:pPr>
      <w:r/>
    </w:p>
    <w:p>
      <w:pPr>
        <w:spacing w:line="247" w:lineRule="auto"/>
        <w:rPr>
          <w:rFonts w:ascii="SimSun"/>
          <w:sz w:val="21"/>
        </w:rPr>
      </w:pPr>
      <w:r/>
    </w:p>
    <w:p>
      <w:pPr>
        <w:spacing w:line="247" w:lineRule="auto"/>
        <w:rPr>
          <w:rFonts w:ascii="SimSun"/>
          <w:sz w:val="21"/>
        </w:rPr>
      </w:pPr>
      <w:r/>
    </w:p>
    <w:p>
      <w:pPr>
        <w:spacing w:line="247" w:lineRule="auto"/>
        <w:rPr>
          <w:rFonts w:ascii="SimSun"/>
          <w:sz w:val="21"/>
        </w:rPr>
      </w:pPr>
      <w:r/>
    </w:p>
    <w:p>
      <w:pPr>
        <w:spacing w:line="247" w:lineRule="auto"/>
        <w:rPr>
          <w:rFonts w:ascii="SimSun"/>
          <w:sz w:val="21"/>
        </w:rPr>
      </w:pPr>
      <w:r/>
    </w:p>
    <w:p>
      <w:pPr>
        <w:spacing w:line="248" w:lineRule="auto"/>
        <w:rPr>
          <w:rFonts w:ascii="SimSun"/>
          <w:sz w:val="21"/>
        </w:rPr>
      </w:pPr>
      <w:r/>
    </w:p>
    <w:p>
      <w:pPr>
        <w:spacing w:line="248" w:lineRule="auto"/>
        <w:rPr>
          <w:rFonts w:ascii="SimSun"/>
          <w:sz w:val="21"/>
        </w:rPr>
      </w:pPr>
      <w:r/>
    </w:p>
    <w:p>
      <w:pPr>
        <w:spacing w:line="248" w:lineRule="auto"/>
        <w:rPr>
          <w:rFonts w:ascii="SimSun"/>
          <w:sz w:val="21"/>
        </w:rPr>
      </w:pPr>
      <w:r/>
    </w:p>
    <w:p>
      <w:pPr>
        <w:spacing w:line="248" w:lineRule="auto"/>
        <w:rPr>
          <w:rFonts w:ascii="SimSun"/>
          <w:sz w:val="21"/>
        </w:rPr>
      </w:pPr>
      <w:r/>
    </w:p>
    <w:p>
      <w:pPr>
        <w:spacing w:line="248" w:lineRule="auto"/>
        <w:rPr>
          <w:rFonts w:ascii="SimSun"/>
          <w:sz w:val="21"/>
        </w:rPr>
      </w:pPr>
      <w:r/>
    </w:p>
    <w:p>
      <w:pPr>
        <w:spacing w:line="248" w:lineRule="auto"/>
        <w:rPr>
          <w:rFonts w:ascii="SimSun"/>
          <w:sz w:val="21"/>
        </w:rPr>
      </w:pPr>
      <w:r/>
    </w:p>
    <w:p>
      <w:pPr>
        <w:spacing w:line="248" w:lineRule="auto"/>
        <w:rPr>
          <w:rFonts w:ascii="SimSun"/>
          <w:sz w:val="21"/>
        </w:rPr>
      </w:pPr>
      <w:r/>
    </w:p>
    <w:p>
      <w:pPr>
        <w:spacing w:line="248" w:lineRule="auto"/>
        <w:rPr>
          <w:rFonts w:ascii="SimSun"/>
          <w:sz w:val="21"/>
        </w:rPr>
      </w:pPr>
      <w:r/>
    </w:p>
    <w:p>
      <w:pPr>
        <w:spacing w:line="248" w:lineRule="auto"/>
        <w:rPr>
          <w:rFonts w:ascii="SimSun"/>
          <w:sz w:val="21"/>
        </w:rPr>
      </w:pPr>
      <w:r/>
    </w:p>
    <w:p>
      <w:pPr>
        <w:spacing w:line="248" w:lineRule="auto"/>
        <w:rPr>
          <w:rFonts w:ascii="SimSun"/>
          <w:sz w:val="21"/>
        </w:rPr>
      </w:pPr>
      <w:r/>
    </w:p>
    <w:p>
      <w:pPr>
        <w:spacing w:line="248" w:lineRule="auto"/>
        <w:rPr>
          <w:rFonts w:ascii="SimSun"/>
          <w:sz w:val="21"/>
        </w:rPr>
      </w:pPr>
      <w:r/>
    </w:p>
    <w:p>
      <w:pPr>
        <w:spacing w:line="248" w:lineRule="auto"/>
        <w:rPr>
          <w:rFonts w:ascii="SimSun"/>
          <w:sz w:val="21"/>
        </w:rPr>
      </w:pPr>
      <w:r/>
    </w:p>
    <w:p>
      <w:pPr>
        <w:spacing w:line="248" w:lineRule="auto"/>
        <w:rPr>
          <w:rFonts w:ascii="SimSun"/>
          <w:sz w:val="21"/>
        </w:rPr>
      </w:pPr>
      <w:r/>
    </w:p>
    <w:p>
      <w:pPr>
        <w:spacing w:line="248" w:lineRule="auto"/>
        <w:rPr>
          <w:rFonts w:ascii="SimSun"/>
          <w:sz w:val="21"/>
        </w:rPr>
      </w:pPr>
      <w:r/>
    </w:p>
    <w:p>
      <w:pPr>
        <w:spacing w:line="248" w:lineRule="auto"/>
        <w:rPr>
          <w:rFonts w:ascii="SimSun"/>
          <w:sz w:val="21"/>
        </w:rPr>
      </w:pPr>
      <w:r/>
    </w:p>
    <w:p>
      <w:pPr>
        <w:spacing w:line="248" w:lineRule="auto"/>
        <w:rPr>
          <w:rFonts w:ascii="SimSun"/>
          <w:sz w:val="21"/>
        </w:rPr>
      </w:pPr>
      <w:r/>
    </w:p>
    <w:p>
      <w:pPr>
        <w:spacing w:line="248" w:lineRule="auto"/>
        <w:rPr>
          <w:rFonts w:ascii="SimSun"/>
          <w:sz w:val="21"/>
        </w:rPr>
      </w:pPr>
      <w:r/>
    </w:p>
    <w:p>
      <w:pPr>
        <w:spacing w:line="248" w:lineRule="auto"/>
        <w:rPr>
          <w:rFonts w:ascii="SimSun"/>
          <w:sz w:val="21"/>
        </w:rPr>
      </w:pPr>
      <w:r/>
    </w:p>
    <w:p>
      <w:pPr>
        <w:ind w:firstLine="539"/>
        <w:spacing w:before="47" w:line="218" w:lineRule="exact"/>
        <w:rPr>
          <w:rFonts w:ascii="Arial" w:hAnsi="Arial" w:eastAsia="Arial" w:cs="Arial"/>
          <w:sz w:val="16"/>
          <w:szCs w:val="16"/>
        </w:rPr>
      </w:pPr>
      <w:r>
        <w:rPr>
          <w:rFonts w:ascii="Arial" w:hAnsi="Arial" w:eastAsia="Arial" w:cs="Arial"/>
          <w:sz w:val="16"/>
          <w:szCs w:val="16"/>
          <w:spacing w:val="-1"/>
        </w:rPr>
        <w:t>kjs.mof.gov.cn/zhengcejiedu/202203/t20220325_3798431.htm</w:t>
      </w:r>
      <w:r>
        <w:rPr>
          <w:rFonts w:ascii="Arial" w:hAnsi="Arial" w:eastAsia="Arial" w:cs="Arial"/>
          <w:sz w:val="16"/>
          <w:szCs w:val="16"/>
          <w:w w:val="101"/>
        </w:rPr>
        <w:t>                                                                                                                                           </w:t>
      </w:r>
      <w:r>
        <w:rPr>
          <w:rFonts w:ascii="Arial" w:hAnsi="Arial" w:eastAsia="Arial" w:cs="Arial"/>
          <w:sz w:val="16"/>
          <w:szCs w:val="16"/>
          <w:spacing w:val="-1"/>
        </w:rPr>
        <w:t>4/4</w:t>
      </w:r>
    </w:p>
    <w:sectPr>
      <w:type w:val="continuous"/>
      <w:pgSz w:w="11900" w:h="16839"/>
      <w:pgMar w:top="0" w:right="0" w:bottom="0" w:left="0" w:header="0" w:footer="0" w:gutter="0"/>
      <w:cols w:equalWidth="0" w:num="1">
        <w:col w:w="11900" w:space="0"/>
      </w:cols>
    </w:sectPr>
  </w:body>
</w:document>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color w:val="000000"/>
        <w:kern w:val="0"/>
        <w:snapToGrid w:val="0"/>
      </w:rPr>
    </w:rPrDefault>
  </w:docDefaults>
  <w:style w:type="paragraph" w:styleId="1" w:default="1">
    <w:name w:val="Normal"/>
    <w:semiHidden/>
    <w:qFormat/>
    <w:pPr>
      <w:spacing w:line="240" w:lineRule="w:auto"/>
      <w:jc w:val="left"/>
      <w:autoSpaceDE w:val="0"/>
      <w:autoSpaceDN w:val="0"/>
      <w:adjustRightInd w:val="0"/>
      <w:snapToGrid w:val="0"/>
      <w:kinsoku w:val="0"/>
      <w:textAlignment w:val="baseline"/>
    </w:pPr>
    <w:rPr>
      <w:color w:val="000000"/>
      <w:kern w:val="0"/>
      <w:snapToGrid w:val="0"/>
      <w:noProof w:val="1"/>
    </w:rPr>
  </w:style>
  <w:style w:type="table" w:styleId="2" w:default="1">
    <w:name w:val="Table Normal"/>
    <w:semiHidden/>
    <w:unhideWhenUsed/>
    <w:qFormat/>
    <w:tblPr>
      <w:tblCellMar>
        <w:left w:w="0" w:type="dxa"/>
        <w:right w:w="0" w:type="dxa"/>
        <w:bottom w:w="0" w:type="dxa"/>
        <w:top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jpeg"/><Relationship Id="rId7" Type="http://schemas.openxmlformats.org/officeDocument/2006/relationships/image" Target="media/image3.png"/><Relationship Id="rId6" Type="http://schemas.openxmlformats.org/officeDocument/2006/relationships/hyperlink" Target="http://kjs.mof.gov.cn/zhengcejiedu/" TargetMode="External"/><Relationship Id="rId5" Type="http://schemas.openxmlformats.org/officeDocument/2006/relationships/hyperlink" Target="http://kjs.mof.gov.cn/" TargetMode="External"/><Relationship Id="rId4" Type="http://schemas.openxmlformats.org/officeDocument/2006/relationships/hyperlink" Target="http://www.mof.gov.cn/" TargetMode="External"/><Relationship Id="rId3" Type="http://schemas.openxmlformats.org/officeDocument/2006/relationships/hyperlink" Target="javascript:void(0)" TargetMode="External"/><Relationship Id="rId23" Type="http://schemas.openxmlformats.org/officeDocument/2006/relationships/styles" Target="styles.xml"/><Relationship Id="rId22" Type="http://schemas.openxmlformats.org/officeDocument/2006/relationships/settings" Target="settings.xml"/><Relationship Id="rId21" Type="http://schemas.openxmlformats.org/officeDocument/2006/relationships/image" Target="media/image10.png"/><Relationship Id="rId20" Type="http://schemas.openxmlformats.org/officeDocument/2006/relationships/hyperlink" Target="http://www.beian.gov.cn/portal/registerSystemInfo?recordcode=11010202000006" TargetMode="External"/><Relationship Id="rId2" Type="http://schemas.openxmlformats.org/officeDocument/2006/relationships/image" Target="media/image2.png"/><Relationship Id="rId19" Type="http://schemas.openxmlformats.org/officeDocument/2006/relationships/hyperlink" Target="https://beian.miit.gov.cn/#/Integrated/index" TargetMode="External"/><Relationship Id="rId18" Type="http://schemas.openxmlformats.org/officeDocument/2006/relationships/hyperlink" Target="http://www.mof.gov.cn/gywm/" TargetMode="External"/><Relationship Id="rId17" Type="http://schemas.openxmlformats.org/officeDocument/2006/relationships/image" Target="media/image9.jpeg"/><Relationship Id="rId16" Type="http://schemas.openxmlformats.org/officeDocument/2006/relationships/hyperlink" Target="http://www.mof.gov.cn/wzdt/" TargetMode="External"/><Relationship Id="rId15" Type="http://schemas.openxmlformats.org/officeDocument/2006/relationships/hyperlink" Target="javascript:close()" TargetMode="External"/><Relationship Id="rId14" Type="http://schemas.openxmlformats.org/officeDocument/2006/relationships/hyperlink" Target="javascript:window.print()" TargetMode="External"/><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hyperlink" Target="http://kjs.mof.gov.cn/gongzuodongtai/202111/t20211126_3769461.htm" TargetMode="External"/><Relationship Id="rId10" Type="http://schemas.openxmlformats.org/officeDocument/2006/relationships/image" Target="media/image6.png"/><Relationship Id="rId1" Type="http://schemas.openxmlformats.org/officeDocument/2006/relationships/image" Target="media/image1.jpeg"/></Relationships>
</file>

<file path=docProps/app.xml><?xml version="1.0" encoding="utf-8"?>
<ap:Properties xmlns:vt="http://schemas.openxmlformats.org/officeDocument/2006/docPropsVTypes" xmlns:ap="http://schemas.openxmlformats.org/officeDocument/2006/extended-properties">
  <ap:Application>Mozilla/5.0 (Windows NT 10.0; WOW64) AppleWebKit/537.36 (KHTML, like Gecko) Chrome/86.0.4240.198 Safari/537.36 QIHU 360SE</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2022-04-27T01:09:05Z</dcterms:created>
</cp:coreProperties>
</file>

<file path=docProps/custom.xml><?xml version="1.0" encoding="utf-8"?>
<op:Properties xmlns:vt="http://schemas.openxmlformats.org/officeDocument/2006/docPropsVTypes" xmlns:op="http://schemas.openxmlformats.org/officeDocument/2006/custom-properties">
  <op:property fmtid="{E94486CC-9CD1-11EB-B3E1-52540006F7B4}" pid="2" name="CRO">
    <vt:lpwstr>wqlLaW5nc29mdCBQREYgdG8gV1BTIDY1</vt:lpwstr>
  </op:property>
  <op:property fmtid="{E94486CC-9CD1-11EB-B3E1-52540006F7B4}" pid="3" name="Created">
    <vt:filetime>2022-04-27T16:21:05</vt:filetime>
  </op:property>
</op:Properties>
</file>